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违法采砂运砂行为举报登记表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875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910"/>
        <w:gridCol w:w="1470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/>
                <w:sz w:val="28"/>
                <w:szCs w:val="28"/>
              </w:rPr>
              <w:t xml:space="preserve">举报编码：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 w:cs="幼圆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接收时间</w:t>
            </w:r>
          </w:p>
        </w:tc>
        <w:tc>
          <w:tcPr>
            <w:tcW w:w="2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 w:cs="幼圆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举报途径</w:t>
            </w:r>
          </w:p>
        </w:tc>
        <w:tc>
          <w:tcPr>
            <w:tcW w:w="297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发生时间</w: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具体位置</w:t>
            </w:r>
          </w:p>
        </w:tc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船只情况</w:t>
            </w:r>
          </w:p>
        </w:tc>
        <w:tc>
          <w:tcPr>
            <w:tcW w:w="73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容</w:t>
            </w:r>
          </w:p>
        </w:tc>
        <w:tc>
          <w:tcPr>
            <w:tcW w:w="73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记录人</w:t>
            </w:r>
          </w:p>
        </w:tc>
        <w:tc>
          <w:tcPr>
            <w:tcW w:w="73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 w:cs="幼圆"/>
                <w:sz w:val="28"/>
                <w:szCs w:val="28"/>
              </w:rPr>
              <w:t>处理意见</w:t>
            </w:r>
          </w:p>
        </w:tc>
        <w:tc>
          <w:tcPr>
            <w:tcW w:w="73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幼圆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87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ind w:left="1050" w:hanging="1050" w:hangingChars="500"/>
              <w:rPr>
                <w:rFonts w:hint="eastAsia" w:ascii="仿宋_GB2312" w:hAnsi="幼圆" w:eastAsia="仿宋_GB2312"/>
                <w:sz w:val="28"/>
                <w:szCs w:val="28"/>
              </w:rPr>
            </w:pPr>
            <w:r>
              <w:rPr>
                <w:rFonts w:hint="eastAsia" w:ascii="仿宋_GB2312" w:hAnsi="幼圆" w:eastAsia="仿宋_GB2312"/>
                <w:szCs w:val="21"/>
              </w:rPr>
              <w:t>填写说明：举报编码由各水行政主管部门自行编制。为避免过于简单，容易被外界掌握，建议采用英文字母搭配数字等形式编制。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97BB0"/>
    <w:rsid w:val="22C97B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2018-05-30T02:54:00Z</dcterms:created>
  <dc:creator>张凯玮</dc:creator>
  <cp:lastModifiedBy>张凯玮</cp:lastModifiedBy>
  <dcterms:modified xsi:type="dcterms:W3CDTF">2018-05-30T02:54:25Z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