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佛山市水利局水利网络安全服务项目内容</w:t>
      </w:r>
    </w:p>
    <w:p>
      <w:pPr>
        <w:spacing w:line="480" w:lineRule="exact"/>
        <w:jc w:val="center"/>
        <w:rPr>
          <w:rFonts w:ascii="黑体" w:hAnsi="黑体" w:eastAsia="黑体" w:cs="黑体"/>
          <w:color w:val="0000FF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及技术、服务需求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Arial" w:hAnsi="Arial" w:eastAsia="黑体"/>
          <w:sz w:val="36"/>
          <w:szCs w:val="36"/>
        </w:rPr>
        <w:t>项目的服务内容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根据省厅网信办对网络架构进行安全检查提出的整改内容</w:t>
      </w:r>
      <w:r>
        <w:rPr>
          <w:rFonts w:hint="eastAsia" w:ascii="仿宋" w:hAnsi="仿宋" w:eastAsia="仿宋" w:cs="仿宋"/>
          <w:sz w:val="32"/>
          <w:szCs w:val="32"/>
        </w:rPr>
        <w:t>进行优化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需服务单位对我局计算机网络进行一次全面整改，</w:t>
      </w:r>
    </w:p>
    <w:p>
      <w:pPr>
        <w:spacing w:line="50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并于整改后提供6个月计算机网络及安全运维专项服务。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1"/>
        <w:gridCol w:w="2971"/>
        <w:gridCol w:w="2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1" w:type="dxa"/>
          </w:tcPr>
          <w:p>
            <w:pPr>
              <w:spacing w:line="500" w:lineRule="exact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服务内容：</w:t>
            </w:r>
          </w:p>
        </w:tc>
        <w:tc>
          <w:tcPr>
            <w:tcW w:w="2971" w:type="dxa"/>
          </w:tcPr>
          <w:p>
            <w:pPr>
              <w:spacing w:line="500" w:lineRule="exact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具体要求</w:t>
            </w:r>
          </w:p>
        </w:tc>
        <w:tc>
          <w:tcPr>
            <w:tcW w:w="2971" w:type="dxa"/>
          </w:tcPr>
          <w:p>
            <w:pPr>
              <w:spacing w:line="500" w:lineRule="exact"/>
              <w:ind w:firstLine="643" w:firstLineChars="200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服务期限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1" w:type="dxa"/>
          </w:tcPr>
          <w:p>
            <w:pPr>
              <w:spacing w:line="500" w:lineRule="exact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网络结构整改</w:t>
            </w:r>
          </w:p>
        </w:tc>
        <w:tc>
          <w:tcPr>
            <w:tcW w:w="2971" w:type="dxa"/>
          </w:tcPr>
          <w:p>
            <w:pPr>
              <w:spacing w:line="500" w:lineRule="exact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1次</w:t>
            </w:r>
          </w:p>
        </w:tc>
        <w:tc>
          <w:tcPr>
            <w:tcW w:w="2971" w:type="dxa"/>
            <w:vMerge w:val="restart"/>
          </w:tcPr>
          <w:p>
            <w:pPr>
              <w:spacing w:line="500" w:lineRule="exact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500" w:lineRule="exact"/>
              <w:ind w:firstLine="964" w:firstLineChars="300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6个月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1" w:type="dxa"/>
          </w:tcPr>
          <w:p>
            <w:pPr>
              <w:spacing w:line="500" w:lineRule="exact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漏洞扫描</w:t>
            </w:r>
          </w:p>
        </w:tc>
        <w:tc>
          <w:tcPr>
            <w:tcW w:w="2971" w:type="dxa"/>
          </w:tcPr>
          <w:p>
            <w:pPr>
              <w:spacing w:line="500" w:lineRule="exact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2次</w:t>
            </w:r>
          </w:p>
        </w:tc>
        <w:tc>
          <w:tcPr>
            <w:tcW w:w="2971" w:type="dxa"/>
            <w:vMerge w:val="continue"/>
          </w:tcPr>
          <w:p>
            <w:pPr>
              <w:spacing w:line="500" w:lineRule="exact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1" w:type="dxa"/>
          </w:tcPr>
          <w:p>
            <w:pPr>
              <w:spacing w:line="500" w:lineRule="exact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重大网络安全保障</w:t>
            </w:r>
          </w:p>
        </w:tc>
        <w:tc>
          <w:tcPr>
            <w:tcW w:w="2971" w:type="dxa"/>
          </w:tcPr>
          <w:p>
            <w:pPr>
              <w:spacing w:line="500" w:lineRule="exact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国庆节（24小时值班）</w:t>
            </w:r>
          </w:p>
        </w:tc>
        <w:tc>
          <w:tcPr>
            <w:tcW w:w="2971" w:type="dxa"/>
            <w:vMerge w:val="continue"/>
          </w:tcPr>
          <w:p>
            <w:pPr>
              <w:spacing w:line="500" w:lineRule="exact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spacing w:line="500" w:lineRule="exact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spacing w:line="500" w:lineRule="exact"/>
        <w:ind w:firstLine="643" w:firstLineChars="200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本服务项目总预算:10.515万元</w:t>
      </w:r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>
      <w:pPr>
        <w:spacing w:line="500" w:lineRule="exact"/>
        <w:ind w:firstLine="643" w:firstLineChars="200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服务期：从签订合同起6个月</w:t>
      </w:r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防火墙概要参数如下：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1.网络层吞吐量≥6G，应用层吞吐量≥2G，IPS吞吐量≥500M，全威胁吞吐量≥400M，千兆电口≥6个，千兆光口≥4个。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2.支持基于IP地址、端口、地域、协议、应用等维度配置策略路由策略，支持多种负载均衡算法，包括加权、带宽比例、轮询、线路排序等。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▲产品内置Web应用攻击检测引擎，支持文件包含攻击、抵御注入式攻击（包含SQL注入、系统命令注入）、信息泄露攻击、跨站脚本（XSS）、网站扫描、WEBSHELL后门攻击、跨站请求伪造、目录遍历攻击、WEB整站系统漏洞等应用层攻击行为，支持超过3000种Web服务器漏洞特征规则。（需提供产品功能截图证明并加盖原厂公章）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4.▲具备勒索软件通信防护功能，提供具备CNAS（中国合格评定国家认可委员会）资质的第三方权威机构关于“勒索软件通信防护”产品功能检测报告。（需提供产品功能截图证明并加盖原厂公章）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5.支持IPv6环境的安全策略设置，实现入侵防御、防病毒、Web应用防护等等安全功能。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6.▲支持基于对象、区域和地域维度设置安全访问控制策略，允许或拒绝特定国家或者地区的对象访问内部网络，保障业务重大时期安全可靠性。（需提供产品功能截图证明并加盖原厂公章）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7.支持基于区域、IP地址、域名、端口、用户、应用、服务、时间等多个维度设置应用控制策略。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8.具备文件过滤功能，可对视频文件、音频文件、图片文件、文本文件、可执行文件、驱动文件等类型文件进行安全过滤。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9.▲具备识别与阻断外部扫描器发起的服务器恶意扫描行为，可对扫描器地址进行自定义封堵。（需提供产品功能截图证明并加盖原厂公章）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10.产品内置安全报表模板，可定义报表内容，包括网络整体安全状况、服务器安全风险分析、终端主机安全分析。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11.具备僵尸网络检测功能，可基于僵尸网络检测引擎发现主机的异常外联行为，并提供威胁等级和非法外联次数作为举证。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12.▲要求所投产品具备国家信息安全漏洞库兼容性资质证书，提供有效证书复印件。（需提供产品功能截图证明并加盖原厂公章）</w:t>
      </w:r>
    </w:p>
    <w:p>
      <w:pPr>
        <w:numPr>
          <w:ilvl w:val="255"/>
          <w:numId w:val="0"/>
        </w:numPr>
        <w:spacing w:line="500" w:lineRule="exact"/>
        <w:rPr>
          <w:rFonts w:ascii="仿宋" w:hAnsi="仿宋" w:eastAsia="仿宋" w:cs="仿宋"/>
          <w:sz w:val="32"/>
          <w:szCs w:val="32"/>
        </w:rPr>
      </w:pPr>
    </w:p>
    <w:p>
      <w:pPr>
        <w:numPr>
          <w:ilvl w:val="255"/>
          <w:numId w:val="0"/>
        </w:numPr>
        <w:spacing w:line="5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付款方式：</w:t>
      </w:r>
    </w:p>
    <w:p>
      <w:pPr>
        <w:numPr>
          <w:ilvl w:val="255"/>
          <w:numId w:val="0"/>
        </w:numPr>
        <w:spacing w:line="5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签订服务合同后支付30%，防火墙上线交付运行30天后支付60%，</w:t>
      </w:r>
    </w:p>
    <w:p>
      <w:pPr>
        <w:numPr>
          <w:ilvl w:val="255"/>
          <w:numId w:val="0"/>
        </w:numPr>
        <w:spacing w:line="50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服务期结束并验收合同后支付10%。</w:t>
      </w:r>
      <w:bookmarkStart w:id="0" w:name="_GoBack"/>
      <w:bookmarkEnd w:id="0"/>
    </w:p>
    <w:p>
      <w:pPr>
        <w:numPr>
          <w:ilvl w:val="255"/>
          <w:numId w:val="0"/>
        </w:numPr>
        <w:spacing w:line="50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576" w:bottom="1440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2684C819-E734-4D2B-9B08-8BD81DAB6DC7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B678996C-92E9-47FE-ADDD-7C2CCB096A1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37D42C71-8A99-47AC-BE7D-7525BB57AFD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1BB3EDB0-6AD6-463F-A08C-F04B7E83A56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55D24"/>
    <w:rsid w:val="00075208"/>
    <w:rsid w:val="00113FBD"/>
    <w:rsid w:val="003466B9"/>
    <w:rsid w:val="003C1C0C"/>
    <w:rsid w:val="00B91011"/>
    <w:rsid w:val="02FB2D15"/>
    <w:rsid w:val="03E61FF4"/>
    <w:rsid w:val="05945B45"/>
    <w:rsid w:val="06326B2B"/>
    <w:rsid w:val="07133471"/>
    <w:rsid w:val="0745274B"/>
    <w:rsid w:val="097F1BFC"/>
    <w:rsid w:val="0B17024C"/>
    <w:rsid w:val="0CB31743"/>
    <w:rsid w:val="0F0012B5"/>
    <w:rsid w:val="10F62085"/>
    <w:rsid w:val="137D7C4B"/>
    <w:rsid w:val="176222B8"/>
    <w:rsid w:val="19504F98"/>
    <w:rsid w:val="19613317"/>
    <w:rsid w:val="1AB40136"/>
    <w:rsid w:val="1B8422A0"/>
    <w:rsid w:val="1E4479C6"/>
    <w:rsid w:val="1EFF012B"/>
    <w:rsid w:val="2B8352CD"/>
    <w:rsid w:val="2BAB6476"/>
    <w:rsid w:val="2C5A3BC1"/>
    <w:rsid w:val="30E37A58"/>
    <w:rsid w:val="30FE334A"/>
    <w:rsid w:val="32435DA7"/>
    <w:rsid w:val="32B0291C"/>
    <w:rsid w:val="33963097"/>
    <w:rsid w:val="351E4EAA"/>
    <w:rsid w:val="35E46E36"/>
    <w:rsid w:val="387E76C6"/>
    <w:rsid w:val="38D71903"/>
    <w:rsid w:val="38FE07CC"/>
    <w:rsid w:val="39E15E90"/>
    <w:rsid w:val="3AE31D44"/>
    <w:rsid w:val="3FE13C43"/>
    <w:rsid w:val="40B7183F"/>
    <w:rsid w:val="427D6BC8"/>
    <w:rsid w:val="48FC0343"/>
    <w:rsid w:val="493C26C0"/>
    <w:rsid w:val="4D8D6E9C"/>
    <w:rsid w:val="4DED5A07"/>
    <w:rsid w:val="4FD83E53"/>
    <w:rsid w:val="503D6EB5"/>
    <w:rsid w:val="52010188"/>
    <w:rsid w:val="52A36C99"/>
    <w:rsid w:val="55993AFD"/>
    <w:rsid w:val="56857E68"/>
    <w:rsid w:val="579D36C5"/>
    <w:rsid w:val="5D74187A"/>
    <w:rsid w:val="5DE55D24"/>
    <w:rsid w:val="605C01C8"/>
    <w:rsid w:val="60D73AA0"/>
    <w:rsid w:val="62DC2321"/>
    <w:rsid w:val="67652D91"/>
    <w:rsid w:val="67CE5740"/>
    <w:rsid w:val="6ED86E27"/>
    <w:rsid w:val="6F044505"/>
    <w:rsid w:val="716364C7"/>
    <w:rsid w:val="72967BCA"/>
    <w:rsid w:val="73676721"/>
    <w:rsid w:val="74F431F0"/>
    <w:rsid w:val="75755EAE"/>
    <w:rsid w:val="75BE5D7D"/>
    <w:rsid w:val="77817BF2"/>
    <w:rsid w:val="7B227AC0"/>
    <w:rsid w:val="7DC9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eastAsia="宋体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市水务局</Company>
  <Pages>10</Pages>
  <Words>821</Words>
  <Characters>4682</Characters>
  <Lines>39</Lines>
  <Paragraphs>10</Paragraphs>
  <TotalTime>21</TotalTime>
  <ScaleCrop>false</ScaleCrop>
  <LinksUpToDate>false</LinksUpToDate>
  <CharactersWithSpaces>5493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2018-06-26T07:29:00Z</dcterms:created>
  <dc:creator>何清凤</dc:creator>
  <cp:lastModifiedBy>梁志超</cp:lastModifiedBy>
  <cp:lastPrinted>2021-06-29T07:30:00Z</cp:lastPrinted>
  <dcterms:modified xsi:type="dcterms:W3CDTF">2021-09-18T07:58:39Z</dcterms:modified>
  <dc:title>“佛山水务三防”微信公众号运营维护项目内容及技术、服务需求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88C3E19E3B424221B3401FB7B89E2456</vt:lpwstr>
  </property>
</Properties>
</file>