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rPr>
          <w:rFonts w:hint="default" w:eastAsia="宋体"/>
          <w:sz w:val="28"/>
          <w:szCs w:val="28"/>
          <w:lang w:val="en-US" w:eastAsia="zh-CN"/>
        </w:rPr>
      </w:pPr>
      <w:bookmarkStart w:id="6" w:name="_GoBack"/>
      <w:r>
        <w:rPr>
          <w:rFonts w:hint="eastAsia"/>
          <w:sz w:val="28"/>
          <w:szCs w:val="28"/>
          <w:lang w:val="en-US" w:eastAsia="zh-CN"/>
        </w:rPr>
        <w:t>《</w:t>
      </w:r>
      <w:r>
        <w:rPr>
          <w:rFonts w:hint="default" w:eastAsia="宋体"/>
          <w:sz w:val="28"/>
          <w:szCs w:val="28"/>
          <w:lang w:val="en-US" w:eastAsia="zh-CN"/>
        </w:rPr>
        <w:t>节水与水资源管理宣传</w:t>
      </w:r>
      <w:r>
        <w:rPr>
          <w:rFonts w:hint="eastAsia"/>
          <w:sz w:val="28"/>
          <w:szCs w:val="28"/>
          <w:lang w:val="en-US" w:eastAsia="zh-CN"/>
        </w:rPr>
        <w:t>》项目附件</w:t>
      </w:r>
      <w:bookmarkEnd w:id="6"/>
      <w:r>
        <w:rPr>
          <w:rFonts w:hint="eastAsia"/>
          <w:sz w:val="28"/>
          <w:szCs w:val="28"/>
          <w:lang w:val="en-US" w:eastAsia="zh-CN"/>
        </w:rPr>
        <w:t>：</w:t>
      </w:r>
    </w:p>
    <w:p>
      <w:pPr>
        <w:pStyle w:val="3"/>
        <w:jc w:val="center"/>
        <w:rPr>
          <w:color w:val="auto"/>
        </w:rPr>
      </w:pPr>
      <w:bookmarkStart w:id="0" w:name="_Toc15856313"/>
      <w:bookmarkStart w:id="1" w:name="_Toc398852258"/>
      <w:bookmarkStart w:id="2" w:name="_Toc395019916"/>
      <w:r>
        <w:rPr>
          <w:rFonts w:hint="eastAsia"/>
          <w:color w:val="auto"/>
        </w:rPr>
        <w:t>一、采购项目技术要求</w:t>
      </w:r>
      <w:bookmarkEnd w:id="0"/>
      <w:bookmarkEnd w:id="1"/>
      <w:bookmarkEnd w:id="2"/>
    </w:p>
    <w:p>
      <w:pPr>
        <w:spacing w:line="360" w:lineRule="auto"/>
        <w:rPr>
          <w:rFonts w:ascii="宋体" w:hAnsi="宋体"/>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b/>
          <w:color w:val="auto"/>
          <w:lang w:val="en-US" w:eastAsia="zh-CN"/>
        </w:rPr>
      </w:pPr>
      <w:r>
        <w:rPr>
          <w:rFonts w:hint="eastAsia" w:ascii="宋体" w:hAnsi="宋体"/>
          <w:b/>
          <w:color w:val="auto"/>
          <w:lang w:val="en-US" w:eastAsia="zh-CN"/>
        </w:rPr>
        <w:t>项目内容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color w:val="auto"/>
        </w:rPr>
      </w:pPr>
      <w:r>
        <w:rPr>
          <w:rFonts w:hint="eastAsia" w:ascii="宋体" w:hAnsi="宋体"/>
          <w:color w:val="auto"/>
        </w:rPr>
        <w:t>在广佛地铁（佛山段）</w:t>
      </w:r>
      <w:r>
        <w:rPr>
          <w:rFonts w:hint="eastAsia" w:ascii="宋体" w:hAnsi="宋体"/>
          <w:color w:val="auto"/>
          <w:lang w:eastAsia="zh-CN"/>
        </w:rPr>
        <w:t>人</w:t>
      </w:r>
      <w:r>
        <w:rPr>
          <w:rFonts w:hint="eastAsia" w:ascii="宋体" w:hAnsi="宋体"/>
          <w:color w:val="auto"/>
        </w:rPr>
        <w:t>流量最大的两个站</w:t>
      </w:r>
      <w:r>
        <w:rPr>
          <w:rFonts w:hint="eastAsia" w:ascii="宋体" w:hAnsi="宋体"/>
          <w:color w:val="auto"/>
          <w:lang w:val="en-US" w:eastAsia="zh-CN"/>
        </w:rPr>
        <w:t>厅</w:t>
      </w:r>
      <w:r>
        <w:rPr>
          <w:rFonts w:hint="eastAsia" w:ascii="宋体" w:hAnsi="宋体"/>
          <w:color w:val="auto"/>
        </w:rPr>
        <w:t>开展节水宣传，宣传周期不少于60天，含广告的设计和制作</w:t>
      </w:r>
      <w:r>
        <w:rPr>
          <w:rFonts w:hint="eastAsia" w:ascii="宋体" w:hAnsi="宋体"/>
          <w:color w:val="auto"/>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color w:val="auto"/>
        </w:rPr>
      </w:pPr>
      <w:r>
        <w:rPr>
          <w:rFonts w:hint="eastAsia" w:ascii="宋体" w:hAnsi="宋体"/>
          <w:color w:val="auto"/>
          <w:lang w:val="en-US" w:eastAsia="zh-CN"/>
        </w:rPr>
        <w:t>本项目</w:t>
      </w:r>
      <w:r>
        <w:rPr>
          <w:rFonts w:hint="eastAsia" w:ascii="宋体" w:hAnsi="宋体"/>
          <w:color w:val="auto"/>
        </w:rPr>
        <w:t>相关设计版权及成果原件提交</w:t>
      </w:r>
      <w:r>
        <w:rPr>
          <w:rFonts w:hint="eastAsia" w:ascii="宋体" w:hAnsi="宋体"/>
          <w:color w:val="auto"/>
          <w:lang w:val="en-US" w:eastAsia="zh-CN"/>
        </w:rPr>
        <w:t>采购人</w:t>
      </w:r>
      <w:r>
        <w:rPr>
          <w:rFonts w:hint="eastAsia" w:ascii="宋体" w:hAnsi="宋体"/>
          <w:color w:val="auto"/>
        </w:rPr>
        <w:t>，以便</w:t>
      </w:r>
      <w:r>
        <w:rPr>
          <w:rFonts w:hint="eastAsia" w:ascii="宋体" w:hAnsi="宋体"/>
          <w:color w:val="auto"/>
          <w:lang w:val="en-US" w:eastAsia="zh-CN"/>
        </w:rPr>
        <w:t>采购人</w:t>
      </w:r>
      <w:r>
        <w:rPr>
          <w:rFonts w:hint="eastAsia" w:ascii="宋体" w:hAnsi="宋体"/>
          <w:color w:val="auto"/>
        </w:rPr>
        <w:t>用于其他形式的节水公益宣传（节水宣传设计需有佛山特色，不得与现有节水宣传设计高度雷同，</w:t>
      </w:r>
      <w:r>
        <w:rPr>
          <w:rFonts w:hint="eastAsia" w:ascii="宋体" w:hAnsi="宋体"/>
          <w:color w:val="auto"/>
          <w:lang w:val="en-US" w:eastAsia="zh-CN"/>
        </w:rPr>
        <w:t>成交供应商</w:t>
      </w:r>
      <w:r>
        <w:rPr>
          <w:rFonts w:hint="eastAsia" w:ascii="宋体" w:hAnsi="宋体"/>
          <w:color w:val="auto"/>
        </w:rPr>
        <w:t>承担涉及设计版权相关的侵权风险及应诉）；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color w:val="auto"/>
        </w:rPr>
      </w:pPr>
      <w:r>
        <w:rPr>
          <w:rFonts w:hint="eastAsia" w:ascii="宋体" w:hAnsi="宋体"/>
          <w:color w:val="auto"/>
        </w:rPr>
        <w:t>对我市重点用水监控单位开展3场节水培训，</w:t>
      </w:r>
      <w:r>
        <w:rPr>
          <w:rFonts w:hint="eastAsia" w:ascii="宋体" w:hAnsi="宋体"/>
          <w:color w:val="auto"/>
          <w:lang w:val="en-US" w:eastAsia="zh-CN"/>
        </w:rPr>
        <w:t>培训场地</w:t>
      </w:r>
      <w:r>
        <w:rPr>
          <w:rFonts w:hint="eastAsia" w:ascii="宋体" w:hAnsi="宋体"/>
          <w:color w:val="auto"/>
        </w:rPr>
        <w:t>安排在酒店会议室举行</w:t>
      </w:r>
      <w:r>
        <w:rPr>
          <w:rFonts w:hint="eastAsia" w:ascii="宋体" w:hAnsi="宋体"/>
          <w:color w:val="auto"/>
          <w:lang w:eastAsia="zh-CN"/>
        </w:rPr>
        <w:t>（</w:t>
      </w:r>
      <w:r>
        <w:rPr>
          <w:rFonts w:hint="eastAsia" w:ascii="宋体" w:hAnsi="宋体"/>
          <w:color w:val="auto"/>
          <w:lang w:val="en-US" w:eastAsia="zh-CN"/>
        </w:rPr>
        <w:t>具体时间和地点以采购确认为准</w:t>
      </w:r>
      <w:r>
        <w:rPr>
          <w:rFonts w:hint="eastAsia" w:ascii="宋体" w:hAnsi="宋体"/>
          <w:color w:val="auto"/>
          <w:lang w:eastAsia="zh-CN"/>
        </w:rPr>
        <w:t>）</w:t>
      </w:r>
      <w:r>
        <w:rPr>
          <w:rFonts w:hint="eastAsia" w:ascii="宋体" w:hAnsi="宋体"/>
          <w:color w:val="auto"/>
        </w:rPr>
        <w:t>，每场培训会期半天，每场培训人数约50人，不提供用餐服务，</w:t>
      </w:r>
      <w:r>
        <w:rPr>
          <w:rFonts w:hint="eastAsia" w:ascii="宋体" w:hAnsi="宋体"/>
          <w:color w:val="auto"/>
          <w:lang w:val="en-US" w:eastAsia="zh-CN"/>
        </w:rPr>
        <w:t>采购人</w:t>
      </w:r>
      <w:r>
        <w:rPr>
          <w:rFonts w:hint="eastAsia" w:ascii="宋体" w:hAnsi="宋体"/>
          <w:color w:val="auto"/>
        </w:rPr>
        <w:t>提供工业节水技术方面专家，</w:t>
      </w:r>
      <w:r>
        <w:rPr>
          <w:rFonts w:hint="eastAsia" w:ascii="宋体" w:hAnsi="宋体"/>
          <w:color w:val="auto"/>
          <w:lang w:val="en-US" w:eastAsia="zh-CN"/>
        </w:rPr>
        <w:t>相关</w:t>
      </w:r>
      <w:r>
        <w:rPr>
          <w:rFonts w:hint="eastAsia" w:ascii="宋体" w:hAnsi="宋体"/>
          <w:color w:val="auto"/>
        </w:rPr>
        <w:t>会场租赁费用及专家费用</w:t>
      </w:r>
      <w:r>
        <w:rPr>
          <w:rFonts w:hint="eastAsia" w:ascii="宋体" w:hAnsi="宋体"/>
          <w:color w:val="auto"/>
          <w:lang w:val="en-US" w:eastAsia="zh-CN"/>
        </w:rPr>
        <w:t>等由成交供应商承担</w:t>
      </w:r>
      <w:r>
        <w:rPr>
          <w:rFonts w:hint="eastAsia" w:ascii="宋体" w:hAnsi="宋体"/>
          <w:color w:val="auto"/>
          <w:lang w:eastAsia="zh-CN"/>
        </w:rPr>
        <w:t>。</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b/>
          <w:color w:val="auto"/>
          <w:lang w:val="en-GB"/>
        </w:rPr>
      </w:pPr>
      <w:r>
        <w:rPr>
          <w:rFonts w:hint="eastAsia" w:ascii="宋体" w:hAnsi="宋体"/>
          <w:b/>
          <w:color w:val="auto"/>
          <w:lang w:val="en-GB"/>
        </w:rPr>
        <w:t>服务要求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成交供应商应认真办理采购人委托的事项，在接到采购人需求后，积极与采购人沟通，积极响应、密切配合，以确保项目的顺利、有效开展。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成交供应商所提供的服务方案须经采购人确认后方可组织实施。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所有与项目相关的对外发布资料，成交供应商均须按采购人核准的内容发布；否则，因此而引起的责任和纠纷由成交供应商承担。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成交供应商应安排相应的项目专案小组，便于与采购人就项目细节等方面进行适时沟通联系。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成交供应商必须遵照采购人的管理及安排，所有的服务必须达到采购人的标准要求，随时配合采购人的调度及工作安排</w:t>
      </w:r>
      <w:r>
        <w:rPr>
          <w:rFonts w:hint="eastAsia" w:ascii="宋体" w:hAnsi="宋体"/>
          <w:bCs/>
          <w:color w:val="auto"/>
          <w:lang w:val="en-GB"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成交供应商须拥有足够的人力、物力、财力、机械设备和技术能力等资源，保证按质按量完成采购人委托的业务。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成交供应商如有其它方案和建议，应提前与采购人商议，并提供详细可行的操作方案与材料，以便采购人决策。</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US" w:eastAsia="zh-CN"/>
        </w:rPr>
        <w:t>培训</w:t>
      </w:r>
      <w:r>
        <w:rPr>
          <w:rFonts w:hint="eastAsia" w:ascii="宋体" w:hAnsi="宋体"/>
          <w:bCs/>
          <w:color w:val="auto"/>
          <w:lang w:val="en-GB"/>
        </w:rPr>
        <w:t>活动组织必须有相关的现场应急方案，确保</w:t>
      </w:r>
      <w:r>
        <w:rPr>
          <w:rFonts w:hint="eastAsia" w:ascii="宋体" w:hAnsi="宋体"/>
          <w:bCs/>
          <w:color w:val="auto"/>
          <w:lang w:val="en-US" w:eastAsia="zh-CN"/>
        </w:rPr>
        <w:t>培训工作</w:t>
      </w:r>
      <w:r>
        <w:rPr>
          <w:rFonts w:hint="eastAsia" w:ascii="宋体" w:hAnsi="宋体"/>
          <w:bCs/>
          <w:color w:val="auto"/>
          <w:lang w:val="en-GB"/>
        </w:rPr>
        <w:t>有序进行</w:t>
      </w:r>
      <w:r>
        <w:rPr>
          <w:rFonts w:hint="eastAsia" w:ascii="宋体" w:hAnsi="宋体"/>
          <w:bCs/>
          <w:color w:val="auto"/>
          <w:lang w:val="en-GB"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活动结束后，成交供应商须安排相应的工作人员将所有设备物资全部撤场，并负责场地的清理工作</w:t>
      </w:r>
      <w:r>
        <w:rPr>
          <w:rFonts w:hint="eastAsia" w:ascii="宋体" w:hAnsi="宋体"/>
          <w:bCs/>
          <w:color w:val="auto"/>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color w:val="auto"/>
          <w:lang w:val="en-GB"/>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b/>
          <w:color w:val="auto"/>
          <w:lang w:val="en-GB"/>
        </w:rPr>
      </w:pPr>
      <w:r>
        <w:rPr>
          <w:rFonts w:hint="eastAsia" w:ascii="宋体" w:hAnsi="宋体"/>
          <w:b/>
          <w:color w:val="auto"/>
          <w:lang w:val="en-GB"/>
        </w:rPr>
        <w:t>知识产权及版权声明</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成交供应商需应采购人要求提供关于本项目所有设计方案和照片，采购人拥有在日后宣传、展览及推荐实施等权利。</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本合同项目成果（包括但不限于设计</w:t>
      </w:r>
      <w:r>
        <w:rPr>
          <w:rFonts w:hint="eastAsia" w:ascii="宋体" w:hAnsi="宋体"/>
          <w:bCs/>
          <w:color w:val="auto"/>
          <w:lang w:val="en-US" w:eastAsia="zh-CN"/>
        </w:rPr>
        <w:t>宣传</w:t>
      </w:r>
      <w:r>
        <w:rPr>
          <w:rFonts w:hint="eastAsia" w:ascii="宋体" w:hAnsi="宋体"/>
          <w:bCs/>
          <w:color w:val="auto"/>
          <w:lang w:val="en-GB"/>
        </w:rPr>
        <w:t>方案、照片、视频、推文）的全部权利，包括但不限于知识产权，归采购人所有。</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成交供应商保证所提交的设计策划方案不会侵犯任何其他人的知识产权（著作权、商标权、专利权）等。若发生由此造成的任何纠纷，一切法律责任及给采购人造成的损失均由成交供应商承担。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bCs/>
          <w:color w:val="auto"/>
          <w:lang w:val="en-GB"/>
        </w:rPr>
      </w:pPr>
      <w:r>
        <w:rPr>
          <w:rFonts w:hint="eastAsia" w:ascii="宋体" w:hAnsi="宋体"/>
          <w:bCs/>
          <w:color w:val="auto"/>
          <w:lang w:val="en-GB"/>
        </w:rPr>
        <w:t>采购人对本项目具有最终解释权。</w:t>
      </w:r>
    </w:p>
    <w:p>
      <w:pPr>
        <w:pStyle w:val="5"/>
        <w:rPr>
          <w:rFonts w:hint="eastAsia" w:ascii="宋体" w:hAnsi="宋体"/>
          <w:color w:val="auto"/>
          <w:szCs w:val="24"/>
        </w:rPr>
      </w:pP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leftChars="0"/>
        <w:textAlignment w:val="auto"/>
        <w:rPr>
          <w:rFonts w:ascii="宋体" w:hAnsi="宋体" w:cs="Times New Roman"/>
          <w:color w:val="auto"/>
          <w:lang w:val="en-GB"/>
        </w:rPr>
      </w:pPr>
    </w:p>
    <w:p>
      <w:pPr>
        <w:pStyle w:val="3"/>
        <w:jc w:val="center"/>
        <w:rPr>
          <w:color w:val="auto"/>
        </w:rPr>
      </w:pPr>
      <w:bookmarkStart w:id="3" w:name="_Toc15856314"/>
      <w:bookmarkStart w:id="4" w:name="_Toc398852257"/>
      <w:bookmarkStart w:id="5" w:name="_Toc395019917"/>
      <w:r>
        <w:rPr>
          <w:rFonts w:hint="eastAsia"/>
          <w:color w:val="auto"/>
        </w:rPr>
        <w:t>二、采购项目商务要求</w:t>
      </w:r>
      <w:bookmarkEnd w:id="3"/>
      <w:bookmarkEnd w:id="4"/>
      <w:bookmarkEnd w:id="5"/>
    </w:p>
    <w:tbl>
      <w:tblPr>
        <w:tblStyle w:val="7"/>
        <w:tblW w:w="9275" w:type="dxa"/>
        <w:jc w:val="cente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55"/>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blHeade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b/>
                <w:color w:val="auto"/>
                <w:sz w:val="21"/>
                <w:szCs w:val="21"/>
              </w:rPr>
            </w:pPr>
            <w:r>
              <w:rPr>
                <w:rFonts w:ascii="宋体" w:hAnsi="宋体"/>
                <w:b/>
                <w:color w:val="auto"/>
                <w:sz w:val="21"/>
                <w:szCs w:val="21"/>
              </w:rPr>
              <w:t>序号</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b/>
                <w:color w:val="auto"/>
                <w:sz w:val="21"/>
                <w:szCs w:val="21"/>
              </w:rPr>
            </w:pPr>
            <w:r>
              <w:rPr>
                <w:rFonts w:hint="eastAsia" w:ascii="宋体" w:hAnsi="宋体"/>
                <w:b/>
                <w:color w:val="auto"/>
                <w:sz w:val="21"/>
                <w:szCs w:val="21"/>
              </w:rPr>
              <w:t>商务条款</w:t>
            </w:r>
          </w:p>
        </w:tc>
        <w:tc>
          <w:tcPr>
            <w:tcW w:w="708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b/>
                <w:color w:val="auto"/>
                <w:sz w:val="21"/>
                <w:szCs w:val="21"/>
              </w:rPr>
            </w:pPr>
            <w:r>
              <w:rPr>
                <w:rFonts w:hint="eastAsia" w:ascii="宋体" w:hAnsi="宋体"/>
                <w:b/>
                <w:color w:val="auto"/>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color w:val="auto"/>
                <w:sz w:val="21"/>
                <w:szCs w:val="21"/>
                <w:lang w:val="en-GB"/>
              </w:rPr>
            </w:pPr>
            <w:r>
              <w:rPr>
                <w:rFonts w:hint="eastAsia" w:ascii="宋体" w:hAnsi="宋体"/>
                <w:color w:val="auto"/>
                <w:sz w:val="21"/>
                <w:szCs w:val="21"/>
                <w:lang w:val="en-GB"/>
              </w:rPr>
              <w:t>1</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color w:val="auto"/>
                <w:sz w:val="21"/>
                <w:szCs w:val="21"/>
              </w:rPr>
            </w:pPr>
            <w:r>
              <w:rPr>
                <w:rFonts w:hint="eastAsia" w:ascii="宋体" w:hAnsi="宋体"/>
                <w:color w:val="auto"/>
                <w:sz w:val="21"/>
                <w:szCs w:val="21"/>
              </w:rPr>
              <w:t>采购项目预算金额</w:t>
            </w:r>
          </w:p>
        </w:tc>
        <w:tc>
          <w:tcPr>
            <w:tcW w:w="7085"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olor w:val="auto"/>
                <w:sz w:val="21"/>
                <w:szCs w:val="21"/>
              </w:rPr>
            </w:pPr>
            <w:r>
              <w:rPr>
                <w:rFonts w:hint="eastAsia" w:ascii="宋体" w:hAnsi="宋体"/>
                <w:color w:val="auto"/>
                <w:sz w:val="21"/>
                <w:szCs w:val="21"/>
              </w:rPr>
              <w:t>详见《磋商邀请函》。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2"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ascii="宋体" w:hAnsi="宋体"/>
                <w:color w:val="auto"/>
                <w:sz w:val="21"/>
                <w:szCs w:val="21"/>
                <w:lang w:val="en-GB"/>
              </w:rPr>
            </w:pPr>
            <w:r>
              <w:rPr>
                <w:rFonts w:hint="eastAsia" w:ascii="宋体" w:hAnsi="宋体"/>
                <w:color w:val="auto"/>
                <w:sz w:val="21"/>
                <w:szCs w:val="21"/>
              </w:rPr>
              <w:t>2</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color w:val="auto"/>
                <w:sz w:val="21"/>
                <w:szCs w:val="21"/>
              </w:rPr>
            </w:pPr>
            <w:r>
              <w:rPr>
                <w:rFonts w:hint="eastAsia" w:ascii="宋体" w:hAnsi="宋体"/>
                <w:color w:val="auto"/>
                <w:sz w:val="21"/>
                <w:szCs w:val="21"/>
              </w:rPr>
              <w:t>报价要求</w:t>
            </w:r>
          </w:p>
        </w:tc>
        <w:tc>
          <w:tcPr>
            <w:tcW w:w="7085" w:type="dxa"/>
            <w:vAlign w:val="center"/>
          </w:tcPr>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1.报价方式为广东省佛山市目的地交付价。</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2.磋商报价指供应商为完成本项目所收取的全部费用，包含但不限于以下费用：</w:t>
            </w:r>
            <w:r>
              <w:rPr>
                <w:rFonts w:hint="eastAsia" w:ascii="宋体" w:hAnsi="宋体"/>
                <w:color w:val="auto"/>
                <w:sz w:val="21"/>
                <w:szCs w:val="21"/>
              </w:rPr>
              <w:t>【</w:t>
            </w:r>
            <w:r>
              <w:rPr>
                <w:rFonts w:hint="eastAsia" w:ascii="宋体" w:hAnsi="宋体"/>
                <w:color w:val="auto"/>
                <w:sz w:val="21"/>
                <w:szCs w:val="21"/>
                <w:lang w:val="en-GB"/>
              </w:rPr>
              <w:t>成本费、劳务费、交通费、场地费、税金（全额含税发票）、雇员费用以及项目实施过程中其它应预见和不可预见费用等完成本招标项目、达到采购人目的的一切费用及企业利润。</w:t>
            </w:r>
            <w:r>
              <w:rPr>
                <w:rFonts w:hint="eastAsia" w:ascii="宋体" w:hAnsi="宋体"/>
                <w:color w:val="auto"/>
                <w:sz w:val="21"/>
                <w:szCs w:val="21"/>
              </w:rPr>
              <w:t>】</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ascii="宋体" w:hAnsi="宋体"/>
                <w:color w:val="auto"/>
                <w:sz w:val="21"/>
                <w:szCs w:val="21"/>
                <w:lang w:val="en-GB"/>
              </w:rPr>
              <w:t>3</w:t>
            </w:r>
            <w:r>
              <w:rPr>
                <w:rFonts w:hint="eastAsia" w:ascii="宋体" w:hAnsi="宋体"/>
                <w:color w:val="auto"/>
                <w:sz w:val="21"/>
                <w:szCs w:val="21"/>
                <w:lang w:val="en-GB"/>
              </w:rPr>
              <w:t>.供应商须考虑本项目在实施期间的一切可能产生的费用。</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leftChars="0" w:hanging="210" w:hangingChars="100"/>
              <w:textAlignment w:val="auto"/>
              <w:rPr>
                <w:rFonts w:ascii="宋体" w:hAnsi="宋体"/>
                <w:color w:val="auto"/>
                <w:sz w:val="21"/>
                <w:szCs w:val="21"/>
              </w:rPr>
            </w:pPr>
            <w:r>
              <w:rPr>
                <w:rFonts w:ascii="宋体" w:hAnsi="宋体"/>
                <w:color w:val="auto"/>
                <w:sz w:val="21"/>
                <w:szCs w:val="21"/>
                <w:lang w:val="en-GB"/>
              </w:rPr>
              <w:t>4</w:t>
            </w:r>
            <w:r>
              <w:rPr>
                <w:rFonts w:hint="eastAsia" w:ascii="宋体" w:hAnsi="宋体"/>
                <w:color w:val="auto"/>
                <w:sz w:val="21"/>
                <w:szCs w:val="21"/>
                <w:lang w:val="en-GB"/>
              </w:rPr>
              <w:t>.</w:t>
            </w:r>
            <w:r>
              <w:rPr>
                <w:rFonts w:hint="eastAsia" w:ascii="宋体" w:hAnsi="宋体"/>
                <w:color w:val="auto"/>
                <w:sz w:val="21"/>
                <w:szCs w:val="21"/>
              </w:rPr>
              <w:t>报价（含初次报价、最后报价）不得高于本项目的招标项目预算金额，否则视为无效报价，作无效响应处理。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ascii="宋体" w:hAnsi="宋体"/>
                <w:color w:val="auto"/>
                <w:sz w:val="21"/>
                <w:szCs w:val="21"/>
                <w:lang w:val="en-GB"/>
              </w:rPr>
            </w:pPr>
            <w:r>
              <w:rPr>
                <w:rFonts w:hint="eastAsia" w:ascii="宋体" w:hAnsi="宋体"/>
                <w:color w:val="auto"/>
                <w:sz w:val="21"/>
                <w:szCs w:val="21"/>
              </w:rPr>
              <w:t>3</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color w:val="auto"/>
                <w:sz w:val="21"/>
                <w:szCs w:val="21"/>
                <w:lang w:val="en-GB"/>
              </w:rPr>
            </w:pPr>
            <w:r>
              <w:rPr>
                <w:rFonts w:hint="eastAsia" w:ascii="宋体" w:hAnsi="宋体"/>
                <w:color w:val="auto"/>
                <w:sz w:val="21"/>
                <w:szCs w:val="21"/>
              </w:rPr>
              <w:t>服务时间</w:t>
            </w:r>
          </w:p>
        </w:tc>
        <w:tc>
          <w:tcPr>
            <w:tcW w:w="7085" w:type="dxa"/>
            <w:vAlign w:val="center"/>
          </w:tcPr>
          <w:p>
            <w:pPr>
              <w:keepNext w:val="0"/>
              <w:keepLines w:val="0"/>
              <w:pageBreakBefore w:val="0"/>
              <w:widowControl w:val="0"/>
              <w:tabs>
                <w:tab w:val="left" w:pos="540"/>
              </w:tabs>
              <w:kinsoku/>
              <w:wordWrap/>
              <w:overflowPunct/>
              <w:topLinePunct w:val="0"/>
              <w:autoSpaceDE/>
              <w:autoSpaceDN/>
              <w:bidi w:val="0"/>
              <w:adjustRightInd/>
              <w:snapToGrid/>
              <w:spacing w:line="288" w:lineRule="auto"/>
              <w:textAlignment w:val="auto"/>
              <w:rPr>
                <w:rFonts w:hint="default" w:ascii="宋体" w:hAnsi="宋体" w:cs="Times New Roman"/>
                <w:color w:val="auto"/>
                <w:sz w:val="21"/>
                <w:szCs w:val="21"/>
                <w:lang w:val="en-US"/>
              </w:rPr>
            </w:pPr>
            <w:r>
              <w:rPr>
                <w:rFonts w:hint="eastAsia" w:ascii="宋体" w:hAnsi="宋体"/>
                <w:color w:val="auto"/>
                <w:sz w:val="21"/>
                <w:szCs w:val="21"/>
                <w:highlight w:val="none"/>
                <w:lang w:val="en-GB"/>
              </w:rPr>
              <w:t>合同签订之日起至202</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lang w:val="en-GB"/>
              </w:rPr>
              <w:t>年12月</w:t>
            </w:r>
            <w:r>
              <w:rPr>
                <w:rFonts w:hint="eastAsia" w:ascii="宋体" w:hAnsi="宋体"/>
                <w:color w:val="auto"/>
                <w:sz w:val="21"/>
                <w:szCs w:val="21"/>
                <w:highlight w:val="none"/>
                <w:lang w:val="en-US" w:eastAsia="zh-CN"/>
              </w:rPr>
              <w:t>30日完成项目内容</w:t>
            </w:r>
            <w:r>
              <w:rPr>
                <w:rFonts w:hint="eastAsia" w:ascii="宋体" w:hAnsi="宋体"/>
                <w:color w:val="auto"/>
                <w:sz w:val="21"/>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hint="eastAsia" w:ascii="宋体" w:hAnsi="宋体" w:eastAsia="宋体"/>
                <w:color w:val="auto"/>
                <w:sz w:val="21"/>
                <w:szCs w:val="21"/>
                <w:lang w:val="en-US" w:eastAsia="zh-CN"/>
              </w:rPr>
            </w:pPr>
            <w:r>
              <w:rPr>
                <w:rFonts w:hint="eastAsia" w:ascii="宋体" w:hAnsi="宋体"/>
                <w:color w:val="auto"/>
                <w:sz w:val="21"/>
                <w:szCs w:val="21"/>
              </w:rPr>
              <w:t>4</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olor w:val="auto"/>
                <w:sz w:val="21"/>
                <w:szCs w:val="21"/>
                <w:lang w:val="en-GB"/>
              </w:rPr>
            </w:pPr>
            <w:r>
              <w:rPr>
                <w:rFonts w:hint="eastAsia" w:ascii="宋体" w:hAnsi="宋体"/>
                <w:color w:val="auto"/>
                <w:sz w:val="21"/>
                <w:szCs w:val="21"/>
                <w:lang w:val="en-GB"/>
              </w:rPr>
              <w:t>服务地点</w:t>
            </w:r>
          </w:p>
        </w:tc>
        <w:tc>
          <w:tcPr>
            <w:tcW w:w="7085"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olor w:val="auto"/>
                <w:sz w:val="21"/>
                <w:szCs w:val="21"/>
              </w:rPr>
            </w:pPr>
            <w:r>
              <w:rPr>
                <w:rFonts w:hint="eastAsia" w:ascii="宋体" w:hAnsi="宋体"/>
                <w:color w:val="auto"/>
                <w:sz w:val="21"/>
                <w:szCs w:val="21"/>
                <w:lang w:val="en-GB"/>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hint="eastAsia" w:ascii="宋体" w:hAnsi="宋体" w:eastAsia="宋体"/>
                <w:color w:val="auto"/>
                <w:sz w:val="21"/>
                <w:szCs w:val="21"/>
                <w:lang w:eastAsia="zh-CN"/>
              </w:rPr>
            </w:pPr>
            <w:r>
              <w:rPr>
                <w:rFonts w:hint="eastAsia" w:ascii="宋体" w:hAnsi="宋体"/>
                <w:color w:val="auto"/>
                <w:sz w:val="21"/>
                <w:szCs w:val="21"/>
              </w:rPr>
              <w:t>5</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color w:val="auto"/>
                <w:sz w:val="21"/>
                <w:szCs w:val="21"/>
                <w:lang w:val="en-GB"/>
              </w:rPr>
            </w:pPr>
            <w:r>
              <w:rPr>
                <w:rFonts w:hint="eastAsia" w:ascii="宋体" w:hAnsi="宋体"/>
                <w:color w:val="auto"/>
                <w:sz w:val="21"/>
                <w:szCs w:val="21"/>
                <w:lang w:val="en-GB"/>
              </w:rPr>
              <w:t>人员要求</w:t>
            </w:r>
          </w:p>
        </w:tc>
        <w:tc>
          <w:tcPr>
            <w:tcW w:w="7085" w:type="dxa"/>
            <w:vAlign w:val="center"/>
          </w:tcPr>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1.成交供应商须按其响应文件中承诺提供的项目组人员必须按要求投入到本项目中，在合同期内不得擅自更换。成交供应商如因工作安排或其它原因，需要更换项目组人员时，应事前向采购人提出书面申请，未经采购人同意，不得更换人员。</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2.如成交供应商未经采购人书面同意擅自更换项目组人员，除须按采购人的要求对人员作出调整外，还须交纳违约金。累计达4次后，采购人有权终止合同，由此引致的经济损失，成交供应商须全额赔偿，采购人保留追究成交供应商相关责任的权利。</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3.采购人有权以书面形式要求成交供应商更换不能按规定履行合同的人员。</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4.即使是采购人要求或同意更换的人员，其代替人员的资质仍应得到采购人的认可，且其资历和经验均不低于被更换人员。由此而产生的费用由成交供应商承担。</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leftChars="0" w:hanging="210" w:hangingChars="100"/>
              <w:textAlignment w:val="auto"/>
              <w:rPr>
                <w:rFonts w:ascii="宋体" w:hAnsi="宋体"/>
                <w:b/>
                <w:color w:val="auto"/>
                <w:sz w:val="21"/>
                <w:szCs w:val="21"/>
                <w:lang w:val="en-GB"/>
              </w:rPr>
            </w:pPr>
            <w:r>
              <w:rPr>
                <w:rFonts w:hint="eastAsia" w:ascii="宋体" w:hAnsi="宋体"/>
                <w:color w:val="auto"/>
                <w:sz w:val="21"/>
                <w:szCs w:val="21"/>
                <w:lang w:val="en-GB"/>
              </w:rPr>
              <w:t>5.成交供应商对其雇员的人身安全负全部责任。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hint="eastAsia" w:ascii="宋体" w:hAnsi="宋体" w:eastAsia="宋体"/>
                <w:color w:val="auto"/>
                <w:sz w:val="21"/>
                <w:szCs w:val="21"/>
                <w:lang w:eastAsia="zh-CN"/>
              </w:rPr>
            </w:pPr>
            <w:r>
              <w:rPr>
                <w:rFonts w:hint="eastAsia" w:ascii="宋体" w:hAnsi="宋体"/>
                <w:color w:val="auto"/>
                <w:sz w:val="21"/>
                <w:szCs w:val="21"/>
              </w:rPr>
              <w:t>6</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val="en-GB"/>
              </w:rPr>
              <w:t>验收要求</w:t>
            </w:r>
          </w:p>
        </w:tc>
        <w:tc>
          <w:tcPr>
            <w:tcW w:w="7085"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olor w:val="auto"/>
                <w:sz w:val="21"/>
                <w:szCs w:val="21"/>
                <w:lang w:val="en-US" w:eastAsia="zh-CN"/>
              </w:rPr>
            </w:pPr>
            <w:r>
              <w:rPr>
                <w:rFonts w:hint="eastAsia" w:ascii="宋体" w:hAnsi="宋体"/>
                <w:color w:val="auto"/>
                <w:sz w:val="21"/>
                <w:szCs w:val="21"/>
                <w:lang w:val="en-GB"/>
              </w:rPr>
              <w:t>根据采购人单位内部要求进行验收，费用由成交供应商支付。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hint="eastAsia" w:ascii="宋体" w:hAnsi="宋体" w:eastAsia="宋体"/>
                <w:color w:val="auto"/>
                <w:sz w:val="21"/>
                <w:szCs w:val="21"/>
                <w:lang w:eastAsia="zh-CN"/>
              </w:rPr>
            </w:pPr>
            <w:r>
              <w:rPr>
                <w:rFonts w:hint="eastAsia" w:ascii="宋体" w:hAnsi="宋体"/>
                <w:color w:val="auto"/>
                <w:sz w:val="21"/>
                <w:szCs w:val="21"/>
              </w:rPr>
              <w:t>7</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ind w:right="-106" w:rightChars="-44"/>
              <w:jc w:val="center"/>
              <w:textAlignment w:val="auto"/>
              <w:rPr>
                <w:rFonts w:hint="eastAsia" w:ascii="宋体" w:hAnsi="宋体" w:eastAsia="宋体"/>
                <w:color w:val="auto"/>
                <w:sz w:val="21"/>
                <w:szCs w:val="21"/>
                <w:lang w:val="en-GB" w:eastAsia="zh-CN"/>
              </w:rPr>
            </w:pPr>
            <w:r>
              <w:rPr>
                <w:rFonts w:hint="eastAsia" w:ascii="宋体" w:hAnsi="宋体"/>
                <w:color w:val="auto"/>
                <w:sz w:val="21"/>
                <w:szCs w:val="21"/>
                <w:lang w:val="en-GB"/>
              </w:rPr>
              <w:t>付款办法</w:t>
            </w:r>
          </w:p>
        </w:tc>
        <w:tc>
          <w:tcPr>
            <w:tcW w:w="7085" w:type="dxa"/>
            <w:vAlign w:val="center"/>
          </w:tcPr>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1</w:t>
            </w:r>
            <w:r>
              <w:rPr>
                <w:rFonts w:hint="eastAsia" w:ascii="宋体" w:hAnsi="宋体"/>
                <w:color w:val="auto"/>
                <w:sz w:val="21"/>
                <w:szCs w:val="21"/>
                <w:lang w:val="en-GB" w:eastAsia="zh-CN"/>
              </w:rPr>
              <w:t>.</w:t>
            </w:r>
            <w:r>
              <w:rPr>
                <w:rFonts w:hint="eastAsia" w:ascii="宋体" w:hAnsi="宋体"/>
                <w:color w:val="auto"/>
                <w:sz w:val="21"/>
                <w:szCs w:val="21"/>
                <w:lang w:val="en-GB"/>
              </w:rPr>
              <w:t>合同款项支付阶段和比例如下：</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1）合同生效后，支付合同款的</w:t>
            </w:r>
            <w:r>
              <w:rPr>
                <w:rFonts w:hint="eastAsia" w:ascii="宋体" w:hAnsi="宋体"/>
                <w:color w:val="auto"/>
                <w:sz w:val="21"/>
                <w:szCs w:val="21"/>
                <w:lang w:val="en-US" w:eastAsia="zh-CN"/>
              </w:rPr>
              <w:t>5</w:t>
            </w:r>
            <w:r>
              <w:rPr>
                <w:rFonts w:hint="eastAsia" w:ascii="宋体" w:hAnsi="宋体"/>
                <w:color w:val="auto"/>
                <w:sz w:val="21"/>
                <w:szCs w:val="21"/>
                <w:lang w:val="en-GB"/>
              </w:rPr>
              <w:t>0%；</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2）</w:t>
            </w:r>
            <w:r>
              <w:rPr>
                <w:rFonts w:hint="eastAsia" w:ascii="宋体" w:hAnsi="宋体" w:cs="Times New Roman"/>
                <w:color w:val="auto"/>
                <w:sz w:val="21"/>
                <w:szCs w:val="21"/>
                <w:lang w:val="en-GB"/>
              </w:rPr>
              <w:t>服务期结束且验收通过后付清余款。</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2</w:t>
            </w:r>
            <w:r>
              <w:rPr>
                <w:rFonts w:hint="eastAsia" w:ascii="宋体" w:hAnsi="宋体"/>
                <w:color w:val="auto"/>
                <w:sz w:val="21"/>
                <w:szCs w:val="21"/>
                <w:lang w:val="en-GB" w:eastAsia="zh-CN"/>
              </w:rPr>
              <w:t>.</w:t>
            </w:r>
            <w:r>
              <w:rPr>
                <w:rFonts w:hint="eastAsia" w:ascii="宋体" w:hAnsi="宋体"/>
                <w:color w:val="auto"/>
                <w:sz w:val="21"/>
                <w:szCs w:val="21"/>
                <w:lang w:val="en-GB"/>
              </w:rPr>
              <w:t>结算方式：转账结算（银行转账）。</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3</w:t>
            </w:r>
            <w:r>
              <w:rPr>
                <w:rFonts w:hint="eastAsia" w:ascii="宋体" w:hAnsi="宋体"/>
                <w:color w:val="auto"/>
                <w:sz w:val="21"/>
                <w:szCs w:val="21"/>
                <w:lang w:val="en-GB" w:eastAsia="zh-CN"/>
              </w:rPr>
              <w:t>.</w:t>
            </w:r>
            <w:r>
              <w:rPr>
                <w:rFonts w:hint="eastAsia" w:ascii="宋体" w:hAnsi="宋体"/>
                <w:color w:val="auto"/>
                <w:sz w:val="21"/>
                <w:szCs w:val="21"/>
                <w:lang w:val="en-GB"/>
              </w:rPr>
              <w:t>付款方：采购人；收款方：成交供应商。</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4</w:t>
            </w:r>
            <w:r>
              <w:rPr>
                <w:rFonts w:hint="eastAsia" w:ascii="宋体" w:hAnsi="宋体"/>
                <w:color w:val="auto"/>
                <w:sz w:val="21"/>
                <w:szCs w:val="21"/>
                <w:lang w:val="en-GB" w:eastAsia="zh-CN"/>
              </w:rPr>
              <w:t>.</w:t>
            </w:r>
            <w:r>
              <w:rPr>
                <w:rFonts w:hint="eastAsia" w:ascii="宋体" w:hAnsi="宋体"/>
                <w:color w:val="auto"/>
                <w:sz w:val="21"/>
                <w:szCs w:val="21"/>
                <w:lang w:val="en-GB"/>
              </w:rPr>
              <w:t>开具发票：成交供应商收款时必须持有效发票。收款方、出具发票方、合同乙方均必须与成交供应商名称一致。</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US" w:eastAsia="zh-CN"/>
              </w:rPr>
            </w:pPr>
            <w:r>
              <w:rPr>
                <w:rFonts w:hint="eastAsia" w:ascii="宋体" w:hAnsi="宋体"/>
                <w:color w:val="auto"/>
                <w:sz w:val="21"/>
                <w:szCs w:val="21"/>
                <w:lang w:val="en-GB"/>
              </w:rPr>
              <w:t>5</w:t>
            </w:r>
            <w:r>
              <w:rPr>
                <w:rFonts w:hint="eastAsia" w:ascii="宋体" w:hAnsi="宋体"/>
                <w:color w:val="auto"/>
                <w:sz w:val="21"/>
                <w:szCs w:val="21"/>
                <w:lang w:val="en-GB" w:eastAsia="zh-CN"/>
              </w:rPr>
              <w:t>.</w:t>
            </w:r>
            <w:r>
              <w:rPr>
                <w:rFonts w:hint="eastAsia" w:ascii="宋体" w:hAnsi="宋体"/>
                <w:color w:val="auto"/>
                <w:sz w:val="21"/>
                <w:szCs w:val="21"/>
                <w:lang w:val="en-GB"/>
              </w:rPr>
              <w:t>付款期间如因特殊情况需调整，由双方协商处理。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hint="default" w:ascii="宋体" w:hAnsi="宋体" w:eastAsia="宋体"/>
                <w:color w:val="auto"/>
                <w:sz w:val="21"/>
                <w:szCs w:val="21"/>
                <w:lang w:val="en-US" w:eastAsia="zh-CN"/>
              </w:rPr>
            </w:pPr>
            <w:r>
              <w:rPr>
                <w:rFonts w:hint="eastAsia" w:ascii="宋体" w:hAnsi="宋体"/>
                <w:color w:val="auto"/>
                <w:sz w:val="21"/>
                <w:szCs w:val="21"/>
              </w:rPr>
              <w:t>8</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olor w:val="auto"/>
                <w:sz w:val="21"/>
                <w:szCs w:val="21"/>
                <w:lang w:val="en-GB"/>
              </w:rPr>
            </w:pPr>
            <w:r>
              <w:rPr>
                <w:rFonts w:hint="eastAsia" w:ascii="宋体" w:hAnsi="宋体"/>
                <w:color w:val="auto"/>
                <w:sz w:val="21"/>
                <w:szCs w:val="21"/>
                <w:lang w:val="en-GB"/>
              </w:rPr>
              <w:t>服务响应要求及售后服务要求</w:t>
            </w:r>
          </w:p>
        </w:tc>
        <w:tc>
          <w:tcPr>
            <w:tcW w:w="7085" w:type="dxa"/>
            <w:vAlign w:val="center"/>
          </w:tcPr>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1</w:t>
            </w:r>
            <w:r>
              <w:rPr>
                <w:rFonts w:hint="eastAsia" w:ascii="宋体" w:hAnsi="宋体"/>
                <w:color w:val="auto"/>
                <w:sz w:val="21"/>
                <w:szCs w:val="21"/>
                <w:lang w:val="en-GB" w:eastAsia="zh-CN"/>
              </w:rPr>
              <w:t>.</w:t>
            </w:r>
            <w:r>
              <w:rPr>
                <w:rFonts w:hint="eastAsia" w:ascii="宋体" w:hAnsi="宋体"/>
                <w:color w:val="auto"/>
                <w:sz w:val="21"/>
                <w:szCs w:val="21"/>
                <w:lang w:val="en-GB"/>
              </w:rPr>
              <w:t>合同执行期间，成交供应商须提供常设每周7天×24小时服务专线和长期的免费技术支持。</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hanging="210" w:hangingChars="100"/>
              <w:textAlignment w:val="auto"/>
              <w:rPr>
                <w:rFonts w:hint="eastAsia" w:ascii="宋体" w:hAnsi="宋体"/>
                <w:color w:val="auto"/>
                <w:sz w:val="21"/>
                <w:szCs w:val="21"/>
                <w:lang w:val="en-GB"/>
              </w:rPr>
            </w:pPr>
            <w:r>
              <w:rPr>
                <w:rFonts w:hint="eastAsia" w:ascii="宋体" w:hAnsi="宋体"/>
                <w:color w:val="auto"/>
                <w:sz w:val="21"/>
                <w:szCs w:val="21"/>
                <w:lang w:val="en-GB"/>
              </w:rPr>
              <w:t>2</w:t>
            </w:r>
            <w:r>
              <w:rPr>
                <w:rFonts w:hint="eastAsia" w:ascii="宋体" w:hAnsi="宋体"/>
                <w:color w:val="auto"/>
                <w:sz w:val="21"/>
                <w:szCs w:val="21"/>
                <w:lang w:val="en-GB" w:eastAsia="zh-CN"/>
              </w:rPr>
              <w:t>.</w:t>
            </w:r>
            <w:r>
              <w:rPr>
                <w:rFonts w:hint="eastAsia" w:ascii="宋体" w:hAnsi="宋体"/>
                <w:color w:val="auto"/>
                <w:sz w:val="21"/>
                <w:szCs w:val="21"/>
                <w:lang w:val="en-GB"/>
              </w:rPr>
              <w:t>对采购人的服务通知，成交供应商必须在接报后30分钟内响应，1小时内到达现场，2小时内处理完毕。</w:t>
            </w:r>
          </w:p>
          <w:p>
            <w:pPr>
              <w:keepNext w:val="0"/>
              <w:keepLines w:val="0"/>
              <w:pageBreakBefore w:val="0"/>
              <w:widowControl w:val="0"/>
              <w:tabs>
                <w:tab w:val="left" w:pos="540"/>
              </w:tabs>
              <w:kinsoku/>
              <w:wordWrap/>
              <w:overflowPunct/>
              <w:topLinePunct w:val="0"/>
              <w:autoSpaceDE/>
              <w:autoSpaceDN/>
              <w:bidi w:val="0"/>
              <w:adjustRightInd/>
              <w:snapToGrid/>
              <w:spacing w:line="288" w:lineRule="auto"/>
              <w:ind w:left="210" w:leftChars="0" w:hanging="210" w:hangingChars="100"/>
              <w:textAlignment w:val="auto"/>
              <w:rPr>
                <w:rFonts w:hint="eastAsia" w:ascii="宋体" w:hAnsi="宋体"/>
                <w:color w:val="auto"/>
                <w:sz w:val="21"/>
                <w:szCs w:val="21"/>
                <w:lang w:val="en-US" w:eastAsia="zh-CN"/>
              </w:rPr>
            </w:pPr>
            <w:r>
              <w:rPr>
                <w:rFonts w:hint="eastAsia" w:ascii="宋体" w:hAnsi="宋体"/>
                <w:color w:val="auto"/>
                <w:sz w:val="21"/>
                <w:szCs w:val="21"/>
                <w:lang w:val="en-GB"/>
              </w:rPr>
              <w:t>3</w:t>
            </w:r>
            <w:r>
              <w:rPr>
                <w:rFonts w:hint="eastAsia" w:ascii="宋体" w:hAnsi="宋体"/>
                <w:color w:val="auto"/>
                <w:sz w:val="21"/>
                <w:szCs w:val="21"/>
                <w:lang w:val="en-GB" w:eastAsia="zh-CN"/>
              </w:rPr>
              <w:t>.</w:t>
            </w:r>
            <w:r>
              <w:rPr>
                <w:rFonts w:hint="eastAsia" w:ascii="宋体" w:hAnsi="宋体"/>
                <w:color w:val="auto"/>
                <w:sz w:val="21"/>
                <w:szCs w:val="21"/>
                <w:lang w:val="en-GB"/>
              </w:rPr>
              <w:t>项目工作结束后，成交供应商须提供常长期的咨询及服务支持。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35" w:type="dxa"/>
            <w:vAlign w:val="center"/>
          </w:tcPr>
          <w:p>
            <w:pPr>
              <w:keepNext w:val="0"/>
              <w:keepLines w:val="0"/>
              <w:pageBreakBefore w:val="0"/>
              <w:widowControl w:val="0"/>
              <w:tabs>
                <w:tab w:val="left" w:pos="180"/>
              </w:tabs>
              <w:kinsoku/>
              <w:wordWrap/>
              <w:overflowPunct/>
              <w:topLinePunct w:val="0"/>
              <w:autoSpaceDE/>
              <w:autoSpaceDN/>
              <w:bidi w:val="0"/>
              <w:adjustRightInd/>
              <w:snapToGrid/>
              <w:spacing w:line="288" w:lineRule="auto"/>
              <w:jc w:val="center"/>
              <w:textAlignment w:val="auto"/>
              <w:rPr>
                <w:rFonts w:hint="eastAsia" w:ascii="宋体" w:hAnsi="宋体" w:eastAsia="宋体"/>
                <w:color w:val="auto"/>
                <w:sz w:val="21"/>
                <w:szCs w:val="21"/>
                <w:lang w:eastAsia="zh-CN"/>
              </w:rPr>
            </w:pPr>
            <w:r>
              <w:rPr>
                <w:rFonts w:hint="eastAsia" w:ascii="宋体" w:hAnsi="宋体"/>
                <w:color w:val="auto"/>
                <w:sz w:val="21"/>
                <w:szCs w:val="21"/>
              </w:rPr>
              <w:t>9</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color w:val="auto"/>
                <w:sz w:val="21"/>
                <w:szCs w:val="21"/>
                <w:lang w:val="en-GB"/>
              </w:rPr>
            </w:pPr>
            <w:r>
              <w:rPr>
                <w:rFonts w:hint="eastAsia" w:ascii="宋体" w:hAnsi="宋体"/>
                <w:color w:val="auto"/>
                <w:sz w:val="21"/>
                <w:szCs w:val="21"/>
                <w:lang w:val="en-GB"/>
              </w:rPr>
              <w:t>其他</w:t>
            </w:r>
          </w:p>
        </w:tc>
        <w:tc>
          <w:tcPr>
            <w:tcW w:w="7085"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color w:val="auto"/>
                <w:sz w:val="21"/>
                <w:szCs w:val="21"/>
                <w:lang w:val="en-GB"/>
              </w:rPr>
            </w:pPr>
            <w:r>
              <w:rPr>
                <w:rFonts w:hint="eastAsia" w:ascii="宋体" w:hAnsi="宋体"/>
                <w:color w:val="auto"/>
                <w:sz w:val="21"/>
                <w:szCs w:val="21"/>
                <w:lang w:val="en-GB"/>
              </w:rPr>
              <w:t>详见“合同书范本”。</w:t>
            </w:r>
          </w:p>
        </w:tc>
      </w:tr>
    </w:tbl>
    <w:p/>
    <w:p>
      <w:pPr>
        <w:pStyle w:val="2"/>
      </w:pPr>
    </w:p>
    <w:p/>
    <w:p>
      <w:pPr>
        <w:numPr>
          <w:ilvl w:val="0"/>
          <w:numId w:val="0"/>
        </w:numPr>
        <w:spacing w:line="360" w:lineRule="auto"/>
        <w:ind w:leftChars="0"/>
        <w:jc w:val="center"/>
        <w:rPr>
          <w:rFonts w:ascii="宋体" w:hAnsi="宋体"/>
          <w:b/>
          <w:color w:val="auto"/>
          <w:lang w:val="en-GB"/>
        </w:rPr>
      </w:pPr>
      <w:r>
        <w:rPr>
          <w:rFonts w:hint="eastAsia" w:ascii="宋体" w:hAnsi="宋体"/>
          <w:b/>
          <w:color w:val="auto"/>
          <w:sz w:val="32"/>
          <w:szCs w:val="32"/>
          <w:lang w:val="en-US" w:eastAsia="zh-CN"/>
        </w:rPr>
        <w:t>三、评分标准</w:t>
      </w:r>
    </w:p>
    <w:p>
      <w:pPr>
        <w:numPr>
          <w:ilvl w:val="0"/>
          <w:numId w:val="5"/>
        </w:numPr>
        <w:tabs>
          <w:tab w:val="left" w:pos="540"/>
        </w:tabs>
        <w:spacing w:line="360" w:lineRule="auto"/>
        <w:rPr>
          <w:color w:val="auto"/>
          <w:lang w:val="en-GB"/>
        </w:rPr>
      </w:pPr>
      <w:r>
        <w:rPr>
          <w:rFonts w:hint="eastAsia" w:ascii="宋体" w:hAnsi="宋体"/>
          <w:b/>
          <w:color w:val="auto"/>
        </w:rPr>
        <w:t>技术</w:t>
      </w:r>
      <w:r>
        <w:rPr>
          <w:rFonts w:hint="eastAsia" w:ascii="宋体" w:hAnsi="宋体"/>
          <w:b/>
          <w:color w:val="auto"/>
          <w:lang w:val="en-GB"/>
        </w:rPr>
        <w:t>部分评审标准</w:t>
      </w:r>
    </w:p>
    <w:tbl>
      <w:tblPr>
        <w:tblStyle w:val="7"/>
        <w:tblW w:w="9255"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920"/>
        <w:gridCol w:w="594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blHeader/>
          <w:jc w:val="center"/>
        </w:trPr>
        <w:tc>
          <w:tcPr>
            <w:tcW w:w="2490" w:type="dxa"/>
            <w:gridSpan w:val="2"/>
            <w:shd w:val="clear" w:color="auto" w:fill="F3F3F3"/>
            <w:vAlign w:val="center"/>
          </w:tcPr>
          <w:p>
            <w:pPr>
              <w:snapToGrid w:val="0"/>
              <w:jc w:val="center"/>
              <w:rPr>
                <w:rFonts w:ascii="宋体" w:hAnsi="宋体"/>
                <w:b/>
                <w:color w:val="auto"/>
                <w:sz w:val="21"/>
                <w:szCs w:val="21"/>
              </w:rPr>
            </w:pPr>
            <w:r>
              <w:rPr>
                <w:rFonts w:hint="eastAsia" w:ascii="宋体" w:hAnsi="宋体"/>
                <w:b/>
                <w:color w:val="auto"/>
                <w:sz w:val="21"/>
                <w:szCs w:val="21"/>
              </w:rPr>
              <w:t>评审因素</w:t>
            </w:r>
          </w:p>
        </w:tc>
        <w:tc>
          <w:tcPr>
            <w:tcW w:w="5940" w:type="dxa"/>
            <w:shd w:val="clear" w:color="auto" w:fill="F3F3F3"/>
            <w:vAlign w:val="center"/>
          </w:tcPr>
          <w:p>
            <w:pPr>
              <w:snapToGrid w:val="0"/>
              <w:jc w:val="center"/>
              <w:rPr>
                <w:rFonts w:ascii="宋体" w:hAnsi="宋体"/>
                <w:b/>
                <w:color w:val="auto"/>
                <w:sz w:val="21"/>
                <w:szCs w:val="21"/>
              </w:rPr>
            </w:pPr>
            <w:r>
              <w:rPr>
                <w:rFonts w:hint="eastAsia" w:ascii="宋体" w:hAnsi="宋体"/>
                <w:b/>
                <w:color w:val="auto"/>
                <w:sz w:val="21"/>
                <w:szCs w:val="21"/>
              </w:rPr>
              <w:t>评分标准</w:t>
            </w:r>
          </w:p>
        </w:tc>
        <w:tc>
          <w:tcPr>
            <w:tcW w:w="825" w:type="dxa"/>
            <w:shd w:val="clear" w:color="auto" w:fill="F3F3F3"/>
            <w:vAlign w:val="center"/>
          </w:tcPr>
          <w:p>
            <w:pPr>
              <w:pStyle w:val="8"/>
              <w:snapToGrid w:val="0"/>
              <w:ind w:left="-91" w:leftChars="-57" w:right="-122"/>
              <w:rPr>
                <w:rFonts w:ascii="宋体" w:hAnsi="宋体"/>
                <w:color w:val="auto"/>
                <w:sz w:val="21"/>
              </w:rPr>
            </w:pPr>
            <w:r>
              <w:rPr>
                <w:rFonts w:hint="eastAsia" w:ascii="宋体" w:hAnsi="宋体"/>
                <w:color w:val="auto"/>
                <w:sz w:val="21"/>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70" w:type="dxa"/>
            <w:vAlign w:val="center"/>
          </w:tcPr>
          <w:p>
            <w:pPr>
              <w:snapToGrid w:val="0"/>
              <w:jc w:val="center"/>
              <w:rPr>
                <w:rFonts w:ascii="宋体" w:hAnsi="宋体" w:cs="宋体"/>
                <w:color w:val="auto"/>
                <w:sz w:val="21"/>
                <w:szCs w:val="21"/>
              </w:rPr>
            </w:pPr>
            <w:r>
              <w:rPr>
                <w:rFonts w:hint="eastAsia" w:ascii="宋体" w:hAnsi="宋体" w:cs="宋体"/>
                <w:color w:val="auto"/>
                <w:sz w:val="21"/>
                <w:szCs w:val="21"/>
              </w:rPr>
              <w:t>1</w:t>
            </w:r>
          </w:p>
        </w:tc>
        <w:tc>
          <w:tcPr>
            <w:tcW w:w="1920" w:type="dxa"/>
            <w:vAlign w:val="center"/>
          </w:tcPr>
          <w:p>
            <w:pPr>
              <w:spacing w:line="300" w:lineRule="exact"/>
              <w:jc w:val="center"/>
              <w:rPr>
                <w:rFonts w:ascii="宋体" w:hAnsi="宋体"/>
                <w:color w:val="auto"/>
                <w:sz w:val="22"/>
                <w:szCs w:val="21"/>
              </w:rPr>
            </w:pPr>
            <w:r>
              <w:rPr>
                <w:rFonts w:ascii="宋体" w:hAnsi="宋体"/>
                <w:color w:val="auto"/>
                <w:sz w:val="22"/>
                <w:szCs w:val="21"/>
              </w:rPr>
              <w:t>《技术</w:t>
            </w:r>
            <w:r>
              <w:rPr>
                <w:rFonts w:hint="eastAsia" w:ascii="宋体" w:hAnsi="宋体"/>
                <w:color w:val="auto"/>
                <w:sz w:val="22"/>
                <w:szCs w:val="21"/>
              </w:rPr>
              <w:t>条款差异说明表</w:t>
            </w:r>
            <w:r>
              <w:rPr>
                <w:rFonts w:ascii="宋体" w:hAnsi="宋体"/>
                <w:color w:val="auto"/>
                <w:sz w:val="22"/>
                <w:szCs w:val="21"/>
              </w:rPr>
              <w:t>》响应程度</w:t>
            </w:r>
          </w:p>
        </w:tc>
        <w:tc>
          <w:tcPr>
            <w:tcW w:w="5940" w:type="dxa"/>
            <w:vAlign w:val="center"/>
          </w:tcPr>
          <w:p>
            <w:pPr>
              <w:spacing w:line="276" w:lineRule="auto"/>
              <w:rPr>
                <w:rFonts w:ascii="宋体" w:hAnsi="宋体"/>
                <w:color w:val="auto"/>
                <w:sz w:val="21"/>
                <w:szCs w:val="21"/>
              </w:rPr>
            </w:pPr>
            <w:r>
              <w:rPr>
                <w:rFonts w:ascii="宋体" w:hAnsi="宋体"/>
                <w:color w:val="auto"/>
                <w:sz w:val="21"/>
                <w:szCs w:val="21"/>
              </w:rPr>
              <w:t>能完全响应或优于得</w:t>
            </w:r>
            <w:r>
              <w:rPr>
                <w:rFonts w:hint="eastAsia" w:ascii="宋体" w:hAnsi="宋体"/>
                <w:color w:val="auto"/>
                <w:sz w:val="21"/>
                <w:szCs w:val="21"/>
              </w:rPr>
              <w:t>5</w:t>
            </w:r>
            <w:r>
              <w:rPr>
                <w:rFonts w:ascii="宋体" w:hAnsi="宋体"/>
                <w:color w:val="auto"/>
                <w:sz w:val="21"/>
                <w:szCs w:val="21"/>
              </w:rPr>
              <w:t>分；</w:t>
            </w:r>
            <w:r>
              <w:rPr>
                <w:rFonts w:hint="eastAsia" w:ascii="宋体" w:hAnsi="宋体" w:cs="宋体"/>
                <w:color w:val="auto"/>
                <w:sz w:val="21"/>
                <w:szCs w:val="21"/>
              </w:rPr>
              <w:t>有不能响应或负偏离项的，本项不得分。</w:t>
            </w:r>
          </w:p>
        </w:tc>
        <w:tc>
          <w:tcPr>
            <w:tcW w:w="825" w:type="dxa"/>
            <w:vAlign w:val="center"/>
          </w:tcPr>
          <w:p>
            <w:pPr>
              <w:snapToGrid w:val="0"/>
              <w:jc w:val="center"/>
              <w:rPr>
                <w:rFonts w:ascii="宋体" w:hAnsi="宋体"/>
                <w:color w:val="auto"/>
                <w:sz w:val="21"/>
                <w:szCs w:val="21"/>
              </w:rPr>
            </w:pPr>
            <w:r>
              <w:rPr>
                <w:rFonts w:hint="eastAsia" w:ascii="宋体" w:hAnsi="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70" w:type="dxa"/>
            <w:vAlign w:val="center"/>
          </w:tcPr>
          <w:p>
            <w:pPr>
              <w:snapToGrid w:val="0"/>
              <w:jc w:val="center"/>
              <w:rPr>
                <w:rFonts w:ascii="宋体" w:hAnsi="宋体" w:cs="宋体"/>
                <w:color w:val="auto"/>
                <w:sz w:val="21"/>
                <w:szCs w:val="21"/>
              </w:rPr>
            </w:pPr>
            <w:r>
              <w:rPr>
                <w:rFonts w:hint="eastAsia" w:ascii="宋体" w:hAnsi="宋体" w:cs="宋体"/>
                <w:color w:val="auto"/>
                <w:sz w:val="21"/>
                <w:szCs w:val="21"/>
              </w:rPr>
              <w:t>2</w:t>
            </w:r>
          </w:p>
        </w:tc>
        <w:tc>
          <w:tcPr>
            <w:tcW w:w="1920" w:type="dxa"/>
            <w:vAlign w:val="center"/>
          </w:tcPr>
          <w:p>
            <w:pPr>
              <w:pStyle w:val="9"/>
              <w:tabs>
                <w:tab w:val="left" w:pos="458"/>
              </w:tabs>
              <w:snapToGrid w:val="0"/>
              <w:ind w:firstLine="0" w:firstLineChars="0"/>
              <w:jc w:val="center"/>
              <w:rPr>
                <w:rFonts w:ascii="宋体" w:hAnsi="宋体"/>
                <w:color w:val="auto"/>
                <w:sz w:val="21"/>
                <w:szCs w:val="21"/>
                <w:lang w:val="en-GB"/>
              </w:rPr>
            </w:pPr>
            <w:r>
              <w:rPr>
                <w:rFonts w:hint="eastAsia" w:ascii="宋体" w:hAnsi="宋体"/>
                <w:color w:val="auto"/>
                <w:sz w:val="21"/>
                <w:szCs w:val="21"/>
                <w:lang w:val="en-GB"/>
              </w:rPr>
              <w:t>对本项目的背景和工作内容的理解和分析</w:t>
            </w:r>
          </w:p>
        </w:tc>
        <w:tc>
          <w:tcPr>
            <w:tcW w:w="5940" w:type="dxa"/>
            <w:vAlign w:val="center"/>
          </w:tcPr>
          <w:p>
            <w:pPr>
              <w:snapToGrid w:val="0"/>
              <w:spacing w:line="276" w:lineRule="auto"/>
              <w:rPr>
                <w:rFonts w:ascii="宋体" w:hAnsi="宋体"/>
                <w:color w:val="auto"/>
                <w:sz w:val="21"/>
                <w:szCs w:val="21"/>
              </w:rPr>
            </w:pPr>
            <w:r>
              <w:rPr>
                <w:rFonts w:hint="eastAsia" w:ascii="宋体" w:hAnsi="宋体"/>
                <w:color w:val="auto"/>
                <w:sz w:val="21"/>
                <w:szCs w:val="21"/>
              </w:rPr>
              <w:t>优：供应商对本项目的背景和工作内容的理解和分析准确，工作目标定位清晰，得5分；</w:t>
            </w:r>
          </w:p>
          <w:p>
            <w:pPr>
              <w:snapToGrid w:val="0"/>
              <w:spacing w:line="276" w:lineRule="auto"/>
              <w:rPr>
                <w:rFonts w:ascii="宋体" w:hAnsi="宋体"/>
                <w:color w:val="auto"/>
                <w:sz w:val="21"/>
                <w:szCs w:val="21"/>
              </w:rPr>
            </w:pPr>
            <w:r>
              <w:rPr>
                <w:rFonts w:hint="eastAsia" w:ascii="宋体" w:hAnsi="宋体"/>
                <w:color w:val="auto"/>
                <w:sz w:val="21"/>
                <w:szCs w:val="21"/>
              </w:rPr>
              <w:t>良：供应商对本项目的背景和工作内容的理解和分析较准确，工作目标的定位较清晰，得3分；</w:t>
            </w:r>
          </w:p>
          <w:p>
            <w:pPr>
              <w:snapToGrid w:val="0"/>
              <w:spacing w:line="276" w:lineRule="auto"/>
              <w:rPr>
                <w:rFonts w:ascii="宋体" w:hAnsi="宋体"/>
                <w:color w:val="auto"/>
                <w:sz w:val="21"/>
                <w:szCs w:val="21"/>
              </w:rPr>
            </w:pPr>
            <w:r>
              <w:rPr>
                <w:rFonts w:hint="eastAsia" w:ascii="宋体" w:hAnsi="宋体"/>
                <w:color w:val="auto"/>
                <w:sz w:val="21"/>
                <w:szCs w:val="21"/>
              </w:rPr>
              <w:t>中：供应商对本项目的背景和工作内容的理解和分析基本准确，工作目标定位基本准确，得1分；</w:t>
            </w:r>
          </w:p>
          <w:p>
            <w:pPr>
              <w:snapToGrid w:val="0"/>
              <w:spacing w:line="276" w:lineRule="auto"/>
              <w:rPr>
                <w:rFonts w:ascii="宋体" w:hAnsi="宋体"/>
                <w:color w:val="auto"/>
                <w:sz w:val="21"/>
                <w:szCs w:val="21"/>
              </w:rPr>
            </w:pPr>
            <w:r>
              <w:rPr>
                <w:rFonts w:hint="eastAsia" w:ascii="宋体" w:hAnsi="宋体"/>
                <w:color w:val="auto"/>
                <w:sz w:val="21"/>
                <w:szCs w:val="21"/>
              </w:rPr>
              <w:t>差：供应商对本项目的背景和工作内容的理解和分析不到位，工作目标定位不准确或未提供相关介绍和分析，得0分。</w:t>
            </w:r>
          </w:p>
        </w:tc>
        <w:tc>
          <w:tcPr>
            <w:tcW w:w="825" w:type="dxa"/>
            <w:vAlign w:val="center"/>
          </w:tcPr>
          <w:p>
            <w:pPr>
              <w:snapToGrid w:val="0"/>
              <w:jc w:val="center"/>
              <w:rPr>
                <w:rFonts w:hint="eastAsia" w:ascii="宋体" w:hAnsi="宋体"/>
                <w:color w:val="auto"/>
                <w:sz w:val="21"/>
                <w:szCs w:val="21"/>
              </w:rPr>
            </w:pPr>
            <w:r>
              <w:rPr>
                <w:rFonts w:hint="eastAsia" w:ascii="宋体" w:hAnsi="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70" w:type="dxa"/>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3</w:t>
            </w:r>
          </w:p>
        </w:tc>
        <w:tc>
          <w:tcPr>
            <w:tcW w:w="1920" w:type="dxa"/>
            <w:vAlign w:val="center"/>
          </w:tcPr>
          <w:p>
            <w:pPr>
              <w:pStyle w:val="9"/>
              <w:tabs>
                <w:tab w:val="left" w:pos="458"/>
              </w:tabs>
              <w:snapToGrid w:val="0"/>
              <w:ind w:firstLine="0" w:firstLineChars="0"/>
              <w:jc w:val="center"/>
              <w:rPr>
                <w:rFonts w:hint="eastAsia"/>
                <w:color w:val="auto"/>
                <w:sz w:val="22"/>
                <w:szCs w:val="21"/>
              </w:rPr>
            </w:pPr>
            <w:r>
              <w:rPr>
                <w:rFonts w:hint="eastAsia" w:ascii="宋体" w:hAnsi="宋体"/>
                <w:color w:val="auto"/>
                <w:sz w:val="22"/>
                <w:lang w:val="en-US" w:eastAsia="zh-CN"/>
              </w:rPr>
              <w:t>宣传</w:t>
            </w:r>
            <w:r>
              <w:rPr>
                <w:rFonts w:hint="eastAsia" w:ascii="宋体" w:hAnsi="宋体"/>
                <w:color w:val="auto"/>
                <w:sz w:val="22"/>
              </w:rPr>
              <w:t>方案</w:t>
            </w:r>
          </w:p>
        </w:tc>
        <w:tc>
          <w:tcPr>
            <w:tcW w:w="5940" w:type="dxa"/>
            <w:vAlign w:val="center"/>
          </w:tcPr>
          <w:p>
            <w:pPr>
              <w:snapToGrid w:val="0"/>
              <w:spacing w:line="276" w:lineRule="auto"/>
              <w:rPr>
                <w:rFonts w:hint="eastAsia" w:ascii="宋体" w:hAnsi="宋体"/>
                <w:color w:val="auto"/>
                <w:sz w:val="21"/>
                <w:szCs w:val="21"/>
              </w:rPr>
            </w:pPr>
            <w:r>
              <w:rPr>
                <w:rFonts w:hint="eastAsia" w:ascii="宋体" w:hAnsi="宋体"/>
                <w:color w:val="auto"/>
                <w:sz w:val="21"/>
                <w:szCs w:val="21"/>
              </w:rPr>
              <w:t>根据各供应商策划及制定的合作方案（方案需列明推广发布的发布位置，投放形式，用于投放推送的预估花费及效果）进行评分：</w:t>
            </w:r>
          </w:p>
          <w:p>
            <w:pPr>
              <w:snapToGrid w:val="0"/>
              <w:spacing w:line="276" w:lineRule="auto"/>
              <w:rPr>
                <w:rFonts w:hint="eastAsia" w:ascii="宋体" w:hAnsi="宋体"/>
                <w:color w:val="auto"/>
                <w:sz w:val="21"/>
                <w:szCs w:val="21"/>
              </w:rPr>
            </w:pPr>
            <w:r>
              <w:rPr>
                <w:rFonts w:hint="eastAsia" w:ascii="宋体" w:hAnsi="宋体"/>
                <w:color w:val="auto"/>
                <w:sz w:val="21"/>
                <w:szCs w:val="21"/>
              </w:rPr>
              <w:t>优：合作方案具体、详细、可行、新颖且有创意，得</w:t>
            </w:r>
            <w:r>
              <w:rPr>
                <w:rFonts w:hint="eastAsia" w:ascii="宋体" w:hAnsi="宋体"/>
                <w:color w:val="auto"/>
                <w:sz w:val="21"/>
                <w:szCs w:val="21"/>
                <w:lang w:val="en-US" w:eastAsia="zh-CN"/>
              </w:rPr>
              <w:t>10</w:t>
            </w:r>
            <w:r>
              <w:rPr>
                <w:rFonts w:hint="eastAsia" w:ascii="宋体" w:hAnsi="宋体"/>
                <w:color w:val="auto"/>
                <w:sz w:val="21"/>
                <w:szCs w:val="21"/>
              </w:rPr>
              <w:t>分；</w:t>
            </w:r>
          </w:p>
          <w:p>
            <w:pPr>
              <w:snapToGrid w:val="0"/>
              <w:spacing w:line="276" w:lineRule="auto"/>
              <w:rPr>
                <w:rFonts w:hint="eastAsia" w:ascii="宋体" w:hAnsi="宋体"/>
                <w:color w:val="auto"/>
                <w:sz w:val="21"/>
                <w:szCs w:val="21"/>
              </w:rPr>
            </w:pPr>
            <w:r>
              <w:rPr>
                <w:rFonts w:hint="eastAsia" w:ascii="宋体" w:hAnsi="宋体"/>
                <w:color w:val="auto"/>
                <w:sz w:val="21"/>
                <w:szCs w:val="21"/>
              </w:rPr>
              <w:t>良：合作方案较为具体、详细、可行，具有一定的创意，得</w:t>
            </w:r>
            <w:r>
              <w:rPr>
                <w:rFonts w:hint="eastAsia" w:ascii="宋体" w:hAnsi="宋体"/>
                <w:color w:val="auto"/>
                <w:sz w:val="21"/>
                <w:szCs w:val="21"/>
                <w:lang w:val="en-US" w:eastAsia="zh-CN"/>
              </w:rPr>
              <w:t>7</w:t>
            </w:r>
            <w:r>
              <w:rPr>
                <w:rFonts w:hint="eastAsia" w:ascii="宋体" w:hAnsi="宋体"/>
                <w:color w:val="auto"/>
                <w:sz w:val="21"/>
                <w:szCs w:val="21"/>
              </w:rPr>
              <w:t>分；</w:t>
            </w:r>
          </w:p>
          <w:p>
            <w:pPr>
              <w:snapToGrid w:val="0"/>
              <w:spacing w:line="276" w:lineRule="auto"/>
              <w:rPr>
                <w:rFonts w:hint="eastAsia" w:ascii="宋体" w:hAnsi="宋体"/>
                <w:color w:val="auto"/>
                <w:sz w:val="21"/>
                <w:szCs w:val="21"/>
              </w:rPr>
            </w:pPr>
            <w:r>
              <w:rPr>
                <w:rFonts w:hint="eastAsia" w:ascii="宋体" w:hAnsi="宋体"/>
                <w:color w:val="auto"/>
                <w:sz w:val="21"/>
                <w:szCs w:val="21"/>
              </w:rPr>
              <w:t>中：合作方案简单、部分内容可行，得</w:t>
            </w:r>
            <w:r>
              <w:rPr>
                <w:rFonts w:hint="eastAsia" w:ascii="宋体" w:hAnsi="宋体"/>
                <w:color w:val="auto"/>
                <w:sz w:val="21"/>
                <w:szCs w:val="21"/>
                <w:lang w:val="en-US" w:eastAsia="zh-CN"/>
              </w:rPr>
              <w:t>3</w:t>
            </w:r>
            <w:r>
              <w:rPr>
                <w:rFonts w:hint="eastAsia" w:ascii="宋体" w:hAnsi="宋体"/>
                <w:color w:val="auto"/>
                <w:sz w:val="21"/>
                <w:szCs w:val="21"/>
              </w:rPr>
              <w:t>分；</w:t>
            </w:r>
          </w:p>
          <w:p>
            <w:pPr>
              <w:snapToGrid w:val="0"/>
              <w:spacing w:line="276" w:lineRule="auto"/>
              <w:rPr>
                <w:rFonts w:hint="eastAsia" w:ascii="宋体" w:hAnsi="宋体"/>
                <w:color w:val="auto"/>
                <w:sz w:val="21"/>
                <w:szCs w:val="21"/>
              </w:rPr>
            </w:pPr>
            <w:r>
              <w:rPr>
                <w:rFonts w:hint="eastAsia" w:ascii="宋体" w:hAnsi="宋体"/>
                <w:color w:val="auto"/>
                <w:sz w:val="21"/>
                <w:szCs w:val="21"/>
              </w:rPr>
              <w:t>差：合作方案简单且不合理的，得1分；</w:t>
            </w:r>
          </w:p>
          <w:p>
            <w:pPr>
              <w:snapToGrid w:val="0"/>
              <w:spacing w:line="276" w:lineRule="auto"/>
              <w:rPr>
                <w:rFonts w:hint="eastAsia" w:ascii="宋体" w:hAnsi="宋体"/>
                <w:color w:val="auto"/>
                <w:sz w:val="21"/>
                <w:szCs w:val="21"/>
              </w:rPr>
            </w:pPr>
            <w:r>
              <w:rPr>
                <w:rFonts w:hint="eastAsia" w:ascii="宋体" w:hAnsi="宋体"/>
                <w:color w:val="auto"/>
                <w:sz w:val="21"/>
                <w:szCs w:val="21"/>
              </w:rPr>
              <w:t>注：没提供相关方案的本项不能得分。</w:t>
            </w:r>
          </w:p>
          <w:p>
            <w:pPr>
              <w:snapToGrid w:val="0"/>
              <w:spacing w:line="276" w:lineRule="auto"/>
              <w:rPr>
                <w:rFonts w:hint="eastAsia" w:ascii="宋体" w:hAnsi="宋体" w:eastAsia="宋体"/>
                <w:color w:val="auto"/>
                <w:sz w:val="21"/>
                <w:szCs w:val="21"/>
                <w:lang w:val="en-US" w:eastAsia="zh-CN"/>
              </w:rPr>
            </w:pPr>
            <w:r>
              <w:rPr>
                <w:rFonts w:hint="eastAsia" w:ascii="宋体" w:hAnsi="宋体"/>
                <w:b/>
                <w:bCs/>
                <w:color w:val="auto"/>
                <w:sz w:val="21"/>
                <w:szCs w:val="21"/>
                <w:lang w:val="en-US" w:eastAsia="zh-CN"/>
              </w:rPr>
              <w:t>加分项：供应商能提供</w:t>
            </w:r>
            <w:r>
              <w:rPr>
                <w:rFonts w:hint="eastAsia" w:ascii="宋体" w:hAnsi="宋体"/>
                <w:b/>
                <w:bCs/>
                <w:color w:val="auto"/>
                <w:sz w:val="21"/>
                <w:szCs w:val="21"/>
                <w:lang w:eastAsia="zh-CN"/>
              </w:rPr>
              <w:t>彩色宣传效果图的，得</w:t>
            </w:r>
            <w:r>
              <w:rPr>
                <w:rFonts w:hint="eastAsia" w:ascii="宋体" w:hAnsi="宋体"/>
                <w:b/>
                <w:bCs/>
                <w:color w:val="auto"/>
                <w:sz w:val="21"/>
                <w:szCs w:val="21"/>
                <w:lang w:val="en-US" w:eastAsia="zh-CN"/>
              </w:rPr>
              <w:t>5分。</w:t>
            </w:r>
          </w:p>
        </w:tc>
        <w:tc>
          <w:tcPr>
            <w:tcW w:w="825" w:type="dxa"/>
            <w:vAlign w:val="center"/>
          </w:tcPr>
          <w:p>
            <w:pPr>
              <w:snapToGrid w:val="0"/>
              <w:jc w:val="center"/>
              <w:rPr>
                <w:rFonts w:hint="default" w:ascii="宋体" w:hAnsi="宋体" w:eastAsia="宋体"/>
                <w:color w:val="auto"/>
                <w:sz w:val="21"/>
                <w:szCs w:val="21"/>
                <w:lang w:val="en-US" w:eastAsia="zh-CN"/>
              </w:rPr>
            </w:pPr>
            <w:r>
              <w:rPr>
                <w:rFonts w:hint="default" w:ascii="宋体" w:hAnsi="宋体"/>
                <w:color w:val="auto"/>
                <w:sz w:val="21"/>
                <w:szCs w:val="21"/>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70" w:type="dxa"/>
            <w:vAlign w:val="center"/>
          </w:tcPr>
          <w:p>
            <w:pPr>
              <w:snapToGrid w:val="0"/>
              <w:jc w:val="center"/>
              <w:rPr>
                <w:rFonts w:ascii="宋体" w:hAnsi="宋体" w:cs="宋体"/>
                <w:color w:val="auto"/>
                <w:sz w:val="21"/>
                <w:szCs w:val="21"/>
              </w:rPr>
            </w:pPr>
            <w:r>
              <w:rPr>
                <w:rFonts w:hint="eastAsia" w:ascii="宋体" w:hAnsi="宋体" w:cs="宋体"/>
                <w:color w:val="auto"/>
                <w:sz w:val="21"/>
                <w:szCs w:val="21"/>
              </w:rPr>
              <w:t>4</w:t>
            </w:r>
          </w:p>
        </w:tc>
        <w:tc>
          <w:tcPr>
            <w:tcW w:w="1920" w:type="dxa"/>
            <w:vAlign w:val="center"/>
          </w:tcPr>
          <w:p>
            <w:pPr>
              <w:spacing w:line="288" w:lineRule="auto"/>
              <w:jc w:val="center"/>
              <w:rPr>
                <w:color w:val="auto"/>
                <w:sz w:val="22"/>
                <w:szCs w:val="21"/>
              </w:rPr>
            </w:pPr>
            <w:r>
              <w:rPr>
                <w:rFonts w:hint="eastAsia" w:ascii="宋体" w:hAnsi="宋体"/>
                <w:color w:val="auto"/>
                <w:sz w:val="22"/>
              </w:rPr>
              <w:t>自身资源和合作资源</w:t>
            </w:r>
          </w:p>
        </w:tc>
        <w:tc>
          <w:tcPr>
            <w:tcW w:w="5940" w:type="dxa"/>
            <w:vAlign w:val="top"/>
          </w:tcPr>
          <w:p>
            <w:pPr>
              <w:snapToGrid w:val="0"/>
              <w:spacing w:line="276" w:lineRule="auto"/>
              <w:rPr>
                <w:rFonts w:hint="eastAsia" w:ascii="宋体" w:hAnsi="宋体"/>
                <w:color w:val="auto"/>
                <w:sz w:val="21"/>
                <w:szCs w:val="21"/>
              </w:rPr>
            </w:pPr>
            <w:r>
              <w:rPr>
                <w:rFonts w:hint="eastAsia" w:ascii="宋体" w:hAnsi="宋体"/>
                <w:color w:val="auto"/>
                <w:sz w:val="21"/>
                <w:szCs w:val="21"/>
              </w:rPr>
              <w:t>根据投标人自身资源和合作资源是否满足本项目的需要、资源是否丰富进行评价：</w:t>
            </w:r>
          </w:p>
          <w:p>
            <w:pPr>
              <w:snapToGrid w:val="0"/>
              <w:spacing w:line="276" w:lineRule="auto"/>
              <w:rPr>
                <w:rFonts w:hint="eastAsia" w:ascii="宋体" w:hAnsi="宋体"/>
                <w:color w:val="auto"/>
                <w:sz w:val="21"/>
                <w:szCs w:val="21"/>
              </w:rPr>
            </w:pPr>
            <w:r>
              <w:rPr>
                <w:rFonts w:hint="eastAsia" w:ascii="宋体" w:hAnsi="宋体"/>
                <w:color w:val="auto"/>
                <w:sz w:val="21"/>
                <w:szCs w:val="21"/>
              </w:rPr>
              <w:t>优：自身的社会资源满足本项目的需要，资源丰富，得</w:t>
            </w:r>
            <w:r>
              <w:rPr>
                <w:rFonts w:hint="eastAsia" w:ascii="宋体" w:hAnsi="宋体"/>
                <w:color w:val="auto"/>
                <w:sz w:val="21"/>
                <w:szCs w:val="21"/>
                <w:lang w:val="en-US" w:eastAsia="zh-CN"/>
              </w:rPr>
              <w:t>10</w:t>
            </w:r>
            <w:r>
              <w:rPr>
                <w:rFonts w:hint="eastAsia" w:ascii="宋体" w:hAnsi="宋体"/>
                <w:color w:val="auto"/>
                <w:sz w:val="21"/>
                <w:szCs w:val="21"/>
              </w:rPr>
              <w:t>分；</w:t>
            </w:r>
          </w:p>
          <w:p>
            <w:pPr>
              <w:snapToGrid w:val="0"/>
              <w:spacing w:line="276" w:lineRule="auto"/>
              <w:rPr>
                <w:rFonts w:hint="eastAsia" w:ascii="宋体" w:hAnsi="宋体"/>
                <w:color w:val="auto"/>
                <w:sz w:val="21"/>
                <w:szCs w:val="21"/>
              </w:rPr>
            </w:pPr>
            <w:r>
              <w:rPr>
                <w:rFonts w:hint="eastAsia" w:ascii="宋体" w:hAnsi="宋体"/>
                <w:color w:val="auto"/>
                <w:sz w:val="21"/>
                <w:szCs w:val="21"/>
              </w:rPr>
              <w:t>良：自身的社会资源基本满足本项目的需要，资源较丰富，得</w:t>
            </w:r>
            <w:r>
              <w:rPr>
                <w:rFonts w:hint="eastAsia" w:ascii="宋体" w:hAnsi="宋体"/>
                <w:color w:val="auto"/>
                <w:sz w:val="21"/>
                <w:szCs w:val="21"/>
                <w:lang w:val="en-US" w:eastAsia="zh-CN"/>
              </w:rPr>
              <w:t>7</w:t>
            </w:r>
            <w:r>
              <w:rPr>
                <w:rFonts w:hint="eastAsia" w:ascii="宋体" w:hAnsi="宋体"/>
                <w:color w:val="auto"/>
                <w:sz w:val="21"/>
                <w:szCs w:val="21"/>
              </w:rPr>
              <w:t>分；</w:t>
            </w:r>
          </w:p>
          <w:p>
            <w:pPr>
              <w:snapToGrid w:val="0"/>
              <w:spacing w:line="276" w:lineRule="auto"/>
              <w:rPr>
                <w:rFonts w:hint="eastAsia" w:ascii="宋体" w:hAnsi="宋体"/>
                <w:color w:val="auto"/>
                <w:sz w:val="21"/>
                <w:szCs w:val="21"/>
              </w:rPr>
            </w:pPr>
            <w:r>
              <w:rPr>
                <w:rFonts w:hint="eastAsia" w:ascii="宋体" w:hAnsi="宋体"/>
                <w:color w:val="auto"/>
                <w:sz w:val="21"/>
                <w:szCs w:val="21"/>
              </w:rPr>
              <w:t>中：自身的社会资源部分满足本项目的需要，资源较少，得</w:t>
            </w:r>
            <w:r>
              <w:rPr>
                <w:rFonts w:hint="eastAsia" w:ascii="宋体" w:hAnsi="宋体"/>
                <w:color w:val="auto"/>
                <w:sz w:val="21"/>
                <w:szCs w:val="21"/>
                <w:lang w:val="en-US" w:eastAsia="zh-CN"/>
              </w:rPr>
              <w:t>4</w:t>
            </w:r>
            <w:r>
              <w:rPr>
                <w:rFonts w:hint="eastAsia" w:ascii="宋体" w:hAnsi="宋体"/>
                <w:color w:val="auto"/>
                <w:sz w:val="21"/>
                <w:szCs w:val="21"/>
              </w:rPr>
              <w:t>分；</w:t>
            </w:r>
          </w:p>
          <w:p>
            <w:pPr>
              <w:snapToGrid w:val="0"/>
              <w:spacing w:line="276" w:lineRule="auto"/>
              <w:rPr>
                <w:rFonts w:hint="eastAsia" w:ascii="宋体" w:hAnsi="宋体"/>
                <w:color w:val="auto"/>
                <w:sz w:val="21"/>
                <w:szCs w:val="21"/>
              </w:rPr>
            </w:pPr>
            <w:r>
              <w:rPr>
                <w:rFonts w:hint="eastAsia" w:ascii="宋体" w:hAnsi="宋体"/>
                <w:color w:val="auto"/>
                <w:sz w:val="21"/>
                <w:szCs w:val="21"/>
              </w:rPr>
              <w:t>差：自身的社会资源不能满足本项目的需要，资源缺乏，得0分。</w:t>
            </w:r>
          </w:p>
        </w:tc>
        <w:tc>
          <w:tcPr>
            <w:tcW w:w="825" w:type="dxa"/>
            <w:vAlign w:val="center"/>
          </w:tcPr>
          <w:p>
            <w:pPr>
              <w:spacing w:line="288" w:lineRule="auto"/>
              <w:jc w:val="center"/>
              <w:rPr>
                <w:rFonts w:hint="eastAsia" w:ascii="宋体" w:hAnsi="宋体" w:eastAsia="宋体"/>
                <w:color w:val="auto"/>
                <w:sz w:val="21"/>
                <w:szCs w:val="21"/>
                <w:lang w:eastAsia="zh-CN"/>
              </w:rPr>
            </w:pPr>
            <w:r>
              <w:rPr>
                <w:rFonts w:hint="eastAsia" w:ascii="宋体" w:hAnsi="宋体"/>
                <w:color w:val="auto"/>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70" w:type="dxa"/>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5</w:t>
            </w:r>
          </w:p>
        </w:tc>
        <w:tc>
          <w:tcPr>
            <w:tcW w:w="1920" w:type="dxa"/>
            <w:vAlign w:val="center"/>
          </w:tcPr>
          <w:p>
            <w:pPr>
              <w:pStyle w:val="9"/>
              <w:tabs>
                <w:tab w:val="left" w:pos="458"/>
              </w:tabs>
              <w:snapToGrid w:val="0"/>
              <w:ind w:firstLine="0" w:firstLineChars="0"/>
              <w:jc w:val="center"/>
              <w:rPr>
                <w:color w:val="auto"/>
                <w:sz w:val="22"/>
                <w:szCs w:val="21"/>
              </w:rPr>
            </w:pPr>
            <w:r>
              <w:rPr>
                <w:rFonts w:hint="eastAsia"/>
                <w:color w:val="auto"/>
                <w:sz w:val="22"/>
                <w:szCs w:val="21"/>
              </w:rPr>
              <w:t>整体实施执行方案</w:t>
            </w:r>
          </w:p>
        </w:tc>
        <w:tc>
          <w:tcPr>
            <w:tcW w:w="5940" w:type="dxa"/>
            <w:vAlign w:val="center"/>
          </w:tcPr>
          <w:p>
            <w:pPr>
              <w:snapToGrid w:val="0"/>
              <w:spacing w:line="276" w:lineRule="auto"/>
              <w:rPr>
                <w:rFonts w:ascii="宋体" w:hAnsi="宋体"/>
                <w:color w:val="auto"/>
                <w:sz w:val="21"/>
                <w:szCs w:val="21"/>
              </w:rPr>
            </w:pPr>
            <w:r>
              <w:rPr>
                <w:rFonts w:hint="eastAsia" w:ascii="宋体" w:hAnsi="宋体"/>
                <w:color w:val="auto"/>
                <w:sz w:val="21"/>
                <w:szCs w:val="21"/>
              </w:rPr>
              <w:t>对供应商针对本项目需求及合作方案而制定的项目实施执行方案（包含但不限于方案内容呈现及布局、推广宣发、</w:t>
            </w:r>
            <w:r>
              <w:rPr>
                <w:rFonts w:hint="eastAsia" w:ascii="宋体" w:hAnsi="宋体"/>
                <w:color w:val="auto"/>
                <w:sz w:val="21"/>
                <w:szCs w:val="21"/>
                <w:lang w:val="en-GB"/>
              </w:rPr>
              <w:t>实施进度计划</w:t>
            </w:r>
            <w:r>
              <w:rPr>
                <w:rFonts w:hint="eastAsia" w:ascii="宋体" w:hAnsi="宋体"/>
                <w:color w:val="auto"/>
                <w:sz w:val="21"/>
                <w:szCs w:val="21"/>
                <w:lang w:val="en-GB" w:eastAsia="zh-CN"/>
              </w:rPr>
              <w:t>、</w:t>
            </w:r>
            <w:r>
              <w:rPr>
                <w:rFonts w:hint="eastAsia" w:ascii="宋体" w:hAnsi="宋体"/>
                <w:color w:val="auto"/>
                <w:sz w:val="21"/>
                <w:szCs w:val="21"/>
                <w:lang w:val="en-US" w:eastAsia="zh-CN"/>
              </w:rPr>
              <w:t>组织培训会</w:t>
            </w:r>
            <w:r>
              <w:rPr>
                <w:rFonts w:hint="eastAsia" w:ascii="宋体" w:hAnsi="宋体"/>
                <w:color w:val="auto"/>
                <w:sz w:val="21"/>
                <w:szCs w:val="21"/>
              </w:rPr>
              <w:t>等）进行评分：</w:t>
            </w:r>
          </w:p>
          <w:p>
            <w:pPr>
              <w:snapToGrid w:val="0"/>
              <w:spacing w:line="276" w:lineRule="auto"/>
              <w:rPr>
                <w:rFonts w:ascii="宋体" w:hAnsi="宋体"/>
                <w:color w:val="auto"/>
                <w:sz w:val="21"/>
                <w:szCs w:val="21"/>
              </w:rPr>
            </w:pPr>
            <w:r>
              <w:rPr>
                <w:rFonts w:hint="eastAsia" w:ascii="宋体" w:hAnsi="宋体"/>
                <w:color w:val="auto"/>
                <w:sz w:val="21"/>
                <w:szCs w:val="21"/>
              </w:rPr>
              <w:t>优：项目实施执行方案具体、详细、可行，有利于整体项目实施，得10分；</w:t>
            </w:r>
          </w:p>
          <w:p>
            <w:pPr>
              <w:snapToGrid w:val="0"/>
              <w:spacing w:line="276" w:lineRule="auto"/>
              <w:rPr>
                <w:rFonts w:ascii="宋体" w:hAnsi="宋体"/>
                <w:color w:val="auto"/>
                <w:sz w:val="21"/>
                <w:szCs w:val="21"/>
              </w:rPr>
            </w:pPr>
            <w:r>
              <w:rPr>
                <w:rFonts w:hint="eastAsia" w:ascii="宋体" w:hAnsi="宋体"/>
                <w:color w:val="auto"/>
                <w:sz w:val="21"/>
                <w:szCs w:val="21"/>
              </w:rPr>
              <w:t>良：项目实施执行方案较为具体、详细、可行，基本有利于整体项目实施，得7分；</w:t>
            </w:r>
          </w:p>
          <w:p>
            <w:pPr>
              <w:snapToGrid w:val="0"/>
              <w:spacing w:line="276" w:lineRule="auto"/>
              <w:rPr>
                <w:rFonts w:ascii="宋体" w:hAnsi="宋体"/>
                <w:color w:val="auto"/>
                <w:sz w:val="21"/>
                <w:szCs w:val="21"/>
              </w:rPr>
            </w:pPr>
            <w:r>
              <w:rPr>
                <w:rFonts w:hint="eastAsia" w:ascii="宋体" w:hAnsi="宋体"/>
                <w:color w:val="auto"/>
                <w:sz w:val="21"/>
                <w:szCs w:val="21"/>
              </w:rPr>
              <w:t>中：项目实施执行方案简单、部分内容可行，得4分；</w:t>
            </w:r>
          </w:p>
          <w:p>
            <w:pPr>
              <w:snapToGrid w:val="0"/>
              <w:spacing w:line="276" w:lineRule="auto"/>
              <w:rPr>
                <w:rFonts w:ascii="宋体" w:hAnsi="宋体"/>
                <w:color w:val="auto"/>
                <w:sz w:val="21"/>
                <w:szCs w:val="21"/>
              </w:rPr>
            </w:pPr>
            <w:r>
              <w:rPr>
                <w:rFonts w:hint="eastAsia" w:ascii="宋体" w:hAnsi="宋体"/>
                <w:color w:val="auto"/>
                <w:sz w:val="21"/>
                <w:szCs w:val="21"/>
              </w:rPr>
              <w:t>差：项目实施执行方案简单且不合理的，得1分；</w:t>
            </w:r>
          </w:p>
          <w:p>
            <w:pPr>
              <w:snapToGrid w:val="0"/>
              <w:spacing w:line="276" w:lineRule="auto"/>
              <w:rPr>
                <w:rFonts w:ascii="宋体" w:hAnsi="宋体"/>
                <w:color w:val="auto"/>
                <w:sz w:val="21"/>
                <w:szCs w:val="21"/>
              </w:rPr>
            </w:pPr>
            <w:r>
              <w:rPr>
                <w:rFonts w:hint="eastAsia" w:ascii="宋体" w:hAnsi="宋体"/>
                <w:color w:val="auto"/>
                <w:sz w:val="21"/>
                <w:szCs w:val="21"/>
              </w:rPr>
              <w:t>注：没提供相关方案的本项不能得分。</w:t>
            </w:r>
          </w:p>
        </w:tc>
        <w:tc>
          <w:tcPr>
            <w:tcW w:w="825" w:type="dxa"/>
            <w:vAlign w:val="center"/>
          </w:tcPr>
          <w:p>
            <w:pPr>
              <w:snapToGrid w:val="0"/>
              <w:jc w:val="center"/>
              <w:rPr>
                <w:rFonts w:ascii="宋体" w:hAnsi="宋体"/>
                <w:color w:val="auto"/>
                <w:sz w:val="21"/>
                <w:szCs w:val="21"/>
              </w:rPr>
            </w:pPr>
            <w:r>
              <w:rPr>
                <w:rFonts w:hint="eastAsia" w:ascii="宋体" w:hAnsi="宋体"/>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70" w:type="dxa"/>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6</w:t>
            </w:r>
          </w:p>
        </w:tc>
        <w:tc>
          <w:tcPr>
            <w:tcW w:w="1920" w:type="dxa"/>
            <w:vAlign w:val="center"/>
          </w:tcPr>
          <w:p>
            <w:pPr>
              <w:pStyle w:val="9"/>
              <w:tabs>
                <w:tab w:val="left" w:pos="458"/>
              </w:tabs>
              <w:snapToGrid w:val="0"/>
              <w:ind w:firstLine="0" w:firstLineChars="0"/>
              <w:jc w:val="center"/>
              <w:rPr>
                <w:rFonts w:ascii="宋体" w:hAnsi="宋体"/>
                <w:color w:val="auto"/>
                <w:sz w:val="21"/>
                <w:szCs w:val="21"/>
                <w:lang w:val="en-GB"/>
              </w:rPr>
            </w:pPr>
            <w:r>
              <w:rPr>
                <w:rFonts w:hint="eastAsia" w:ascii="宋体" w:hAnsi="宋体"/>
                <w:color w:val="auto"/>
                <w:sz w:val="21"/>
                <w:szCs w:val="21"/>
                <w:lang w:val="en-GB"/>
              </w:rPr>
              <w:t>人力资源配置</w:t>
            </w:r>
          </w:p>
        </w:tc>
        <w:tc>
          <w:tcPr>
            <w:tcW w:w="5940" w:type="dxa"/>
            <w:vAlign w:val="center"/>
          </w:tcPr>
          <w:p>
            <w:pPr>
              <w:spacing w:line="276" w:lineRule="auto"/>
              <w:rPr>
                <w:rFonts w:ascii="宋体" w:hAnsi="宋体"/>
                <w:color w:val="auto"/>
                <w:sz w:val="21"/>
                <w:szCs w:val="21"/>
              </w:rPr>
            </w:pPr>
            <w:r>
              <w:rPr>
                <w:rFonts w:hint="eastAsia" w:ascii="宋体" w:hAnsi="宋体"/>
                <w:color w:val="auto"/>
                <w:sz w:val="21"/>
                <w:szCs w:val="21"/>
                <w:lang w:val="en-US" w:eastAsia="zh-CN"/>
              </w:rPr>
              <w:t>对</w:t>
            </w:r>
            <w:r>
              <w:rPr>
                <w:rFonts w:hint="eastAsia" w:ascii="宋体" w:hAnsi="宋体"/>
                <w:color w:val="auto"/>
                <w:sz w:val="21"/>
                <w:szCs w:val="21"/>
              </w:rPr>
              <w:t xml:space="preserve">各供应商拟投入本项目的项目团队进行评价： </w:t>
            </w:r>
          </w:p>
          <w:p>
            <w:pPr>
              <w:spacing w:line="276" w:lineRule="auto"/>
              <w:rPr>
                <w:rFonts w:ascii="宋体" w:hAnsi="宋体"/>
                <w:color w:val="auto"/>
                <w:sz w:val="21"/>
                <w:szCs w:val="21"/>
              </w:rPr>
            </w:pPr>
            <w:r>
              <w:rPr>
                <w:rFonts w:hint="eastAsia" w:ascii="宋体" w:hAnsi="宋体"/>
                <w:color w:val="auto"/>
                <w:sz w:val="21"/>
                <w:szCs w:val="21"/>
              </w:rPr>
              <w:t>优：供应商拟投入本项目的项目团队岗位设置准确，职责设定明晰，人员配备充足，管理人员资历丰富且有相关经验，得5分；</w:t>
            </w:r>
          </w:p>
          <w:p>
            <w:pPr>
              <w:spacing w:line="276" w:lineRule="auto"/>
              <w:rPr>
                <w:rFonts w:ascii="宋体" w:hAnsi="宋体"/>
                <w:color w:val="auto"/>
                <w:sz w:val="21"/>
                <w:szCs w:val="21"/>
              </w:rPr>
            </w:pPr>
            <w:r>
              <w:rPr>
                <w:rFonts w:hint="eastAsia" w:ascii="宋体" w:hAnsi="宋体"/>
                <w:color w:val="auto"/>
                <w:sz w:val="21"/>
                <w:szCs w:val="21"/>
              </w:rPr>
              <w:t>良：供应商拟投入本项目的项目团队岗位设置较准确，职责设定较明晰，人员配备较充足，管理人员资历较丰富，得3分；</w:t>
            </w:r>
          </w:p>
          <w:p>
            <w:pPr>
              <w:spacing w:line="276" w:lineRule="auto"/>
              <w:rPr>
                <w:rFonts w:ascii="宋体" w:hAnsi="宋体"/>
                <w:color w:val="auto"/>
                <w:sz w:val="21"/>
                <w:szCs w:val="21"/>
              </w:rPr>
            </w:pPr>
            <w:r>
              <w:rPr>
                <w:rFonts w:hint="eastAsia" w:ascii="宋体" w:hAnsi="宋体"/>
                <w:color w:val="auto"/>
                <w:sz w:val="21"/>
                <w:szCs w:val="21"/>
              </w:rPr>
              <w:t>中：供应商拟投入本项目的项目团队有基本的岗位设置和职责设定，人员配备基本合理，得1分；</w:t>
            </w:r>
          </w:p>
          <w:p>
            <w:pPr>
              <w:spacing w:line="276" w:lineRule="auto"/>
              <w:rPr>
                <w:rFonts w:ascii="宋体" w:hAnsi="宋体"/>
                <w:color w:val="auto"/>
                <w:sz w:val="21"/>
                <w:szCs w:val="21"/>
              </w:rPr>
            </w:pPr>
            <w:r>
              <w:rPr>
                <w:rFonts w:hint="eastAsia" w:ascii="宋体" w:hAnsi="宋体"/>
                <w:color w:val="auto"/>
                <w:sz w:val="21"/>
                <w:szCs w:val="21"/>
              </w:rPr>
              <w:t>差：供应商未对拟投入本项目的项目团队进行具体描述或未提供相关方案，得0分</w:t>
            </w:r>
            <w:r>
              <w:rPr>
                <w:rFonts w:hint="eastAsia" w:ascii="宋体" w:hAnsi="宋体" w:cs="宋体"/>
                <w:color w:val="auto"/>
                <w:sz w:val="21"/>
              </w:rPr>
              <w:t>。</w:t>
            </w:r>
          </w:p>
        </w:tc>
        <w:tc>
          <w:tcPr>
            <w:tcW w:w="825" w:type="dxa"/>
            <w:vAlign w:val="center"/>
          </w:tcPr>
          <w:p>
            <w:pPr>
              <w:snapToGrid w:val="0"/>
              <w:jc w:val="center"/>
              <w:rPr>
                <w:rFonts w:ascii="宋体" w:hAnsi="宋体"/>
                <w:color w:val="auto"/>
                <w:sz w:val="21"/>
                <w:szCs w:val="21"/>
              </w:rPr>
            </w:pPr>
            <w:r>
              <w:rPr>
                <w:rFonts w:hint="eastAsia" w:ascii="宋体" w:hAnsi="宋体"/>
                <w:color w:val="auto"/>
                <w:sz w:val="21"/>
                <w:szCs w:val="21"/>
              </w:rPr>
              <w:t>5</w:t>
            </w:r>
          </w:p>
        </w:tc>
      </w:tr>
    </w:tbl>
    <w:p>
      <w:pPr>
        <w:numPr>
          <w:ilvl w:val="0"/>
          <w:numId w:val="0"/>
        </w:numPr>
        <w:tabs>
          <w:tab w:val="left" w:pos="540"/>
        </w:tabs>
        <w:spacing w:line="360" w:lineRule="auto"/>
        <w:ind w:leftChars="0"/>
        <w:rPr>
          <w:rFonts w:ascii="宋体" w:hAnsi="宋体"/>
          <w:b/>
          <w:color w:val="auto"/>
          <w:lang w:val="en-GB"/>
        </w:rPr>
      </w:pPr>
    </w:p>
    <w:p>
      <w:pPr>
        <w:numPr>
          <w:ilvl w:val="0"/>
          <w:numId w:val="5"/>
        </w:numPr>
        <w:tabs>
          <w:tab w:val="left" w:pos="540"/>
        </w:tabs>
        <w:spacing w:line="360" w:lineRule="auto"/>
        <w:rPr>
          <w:rFonts w:hint="eastAsia" w:ascii="宋体" w:hAnsi="宋体"/>
          <w:b/>
          <w:color w:val="auto"/>
          <w:lang w:val="en-GB"/>
        </w:rPr>
      </w:pPr>
      <w:r>
        <w:rPr>
          <w:rFonts w:hint="eastAsia" w:ascii="宋体" w:hAnsi="宋体"/>
          <w:b/>
          <w:color w:val="auto"/>
          <w:lang w:val="en-GB"/>
        </w:rPr>
        <w:t>商务部分评审标准</w:t>
      </w:r>
    </w:p>
    <w:tbl>
      <w:tblPr>
        <w:tblStyle w:val="7"/>
        <w:tblW w:w="927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920"/>
        <w:gridCol w:w="592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blHeader/>
        </w:trPr>
        <w:tc>
          <w:tcPr>
            <w:tcW w:w="2505" w:type="dxa"/>
            <w:gridSpan w:val="2"/>
            <w:shd w:val="clear" w:color="auto" w:fill="F3F3F3"/>
            <w:vAlign w:val="center"/>
          </w:tcPr>
          <w:p>
            <w:pPr>
              <w:snapToGrid w:val="0"/>
              <w:jc w:val="center"/>
              <w:rPr>
                <w:rFonts w:ascii="宋体" w:hAnsi="宋体"/>
                <w:b/>
                <w:color w:val="auto"/>
                <w:sz w:val="21"/>
                <w:szCs w:val="21"/>
              </w:rPr>
            </w:pPr>
            <w:r>
              <w:rPr>
                <w:rFonts w:hint="eastAsia" w:ascii="宋体" w:hAnsi="宋体"/>
                <w:b/>
                <w:color w:val="auto"/>
                <w:sz w:val="21"/>
                <w:szCs w:val="21"/>
              </w:rPr>
              <w:t>评审因素</w:t>
            </w:r>
          </w:p>
        </w:tc>
        <w:tc>
          <w:tcPr>
            <w:tcW w:w="5925" w:type="dxa"/>
            <w:shd w:val="clear" w:color="auto" w:fill="F3F3F3"/>
            <w:vAlign w:val="center"/>
          </w:tcPr>
          <w:p>
            <w:pPr>
              <w:snapToGrid w:val="0"/>
              <w:jc w:val="center"/>
              <w:rPr>
                <w:rFonts w:ascii="宋体" w:hAnsi="宋体"/>
                <w:b/>
                <w:color w:val="auto"/>
                <w:sz w:val="21"/>
                <w:szCs w:val="21"/>
              </w:rPr>
            </w:pPr>
            <w:r>
              <w:rPr>
                <w:rFonts w:hint="eastAsia" w:ascii="宋体" w:hAnsi="宋体"/>
                <w:b/>
                <w:color w:val="auto"/>
                <w:sz w:val="21"/>
                <w:szCs w:val="21"/>
              </w:rPr>
              <w:t>评分标准</w:t>
            </w:r>
          </w:p>
        </w:tc>
        <w:tc>
          <w:tcPr>
            <w:tcW w:w="840" w:type="dxa"/>
            <w:shd w:val="clear" w:color="auto" w:fill="F3F3F3"/>
            <w:vAlign w:val="center"/>
          </w:tcPr>
          <w:p>
            <w:pPr>
              <w:pStyle w:val="8"/>
              <w:snapToGrid w:val="0"/>
              <w:ind w:left="-91" w:leftChars="-57" w:right="-122"/>
              <w:rPr>
                <w:rFonts w:ascii="宋体" w:hAnsi="宋体"/>
                <w:color w:val="auto"/>
                <w:sz w:val="21"/>
              </w:rPr>
            </w:pPr>
            <w:r>
              <w:rPr>
                <w:rFonts w:hint="eastAsia" w:ascii="宋体" w:hAnsi="宋体"/>
                <w:color w:val="auto"/>
                <w:sz w:val="21"/>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85" w:type="dxa"/>
            <w:vAlign w:val="center"/>
          </w:tcPr>
          <w:p>
            <w:pPr>
              <w:snapToGrid w:val="0"/>
              <w:jc w:val="center"/>
              <w:rPr>
                <w:rFonts w:ascii="宋体" w:hAnsi="宋体" w:cs="宋体"/>
                <w:color w:val="auto"/>
                <w:sz w:val="21"/>
                <w:szCs w:val="21"/>
              </w:rPr>
            </w:pPr>
            <w:r>
              <w:rPr>
                <w:rFonts w:hint="eastAsia" w:ascii="宋体" w:hAnsi="宋体" w:cs="宋体"/>
                <w:color w:val="auto"/>
                <w:sz w:val="21"/>
                <w:szCs w:val="21"/>
              </w:rPr>
              <w:t>1</w:t>
            </w:r>
          </w:p>
        </w:tc>
        <w:tc>
          <w:tcPr>
            <w:tcW w:w="1920" w:type="dxa"/>
            <w:vAlign w:val="center"/>
          </w:tcPr>
          <w:p>
            <w:pPr>
              <w:spacing w:line="300" w:lineRule="exact"/>
              <w:jc w:val="center"/>
              <w:rPr>
                <w:rFonts w:ascii="宋体" w:hAnsi="宋体"/>
                <w:color w:val="auto"/>
                <w:sz w:val="21"/>
                <w:szCs w:val="21"/>
              </w:rPr>
            </w:pPr>
            <w:r>
              <w:rPr>
                <w:rFonts w:hint="eastAsia" w:ascii="宋体" w:hAnsi="宋体"/>
                <w:color w:val="auto"/>
                <w:sz w:val="21"/>
                <w:szCs w:val="21"/>
              </w:rPr>
              <w:t>《商务条款响应表》响应程度</w:t>
            </w:r>
          </w:p>
        </w:tc>
        <w:tc>
          <w:tcPr>
            <w:tcW w:w="5925" w:type="dxa"/>
            <w:vAlign w:val="center"/>
          </w:tcPr>
          <w:p>
            <w:pPr>
              <w:spacing w:line="300" w:lineRule="exact"/>
              <w:rPr>
                <w:rFonts w:ascii="宋体" w:hAnsi="宋体"/>
                <w:color w:val="auto"/>
                <w:sz w:val="21"/>
                <w:szCs w:val="21"/>
              </w:rPr>
            </w:pPr>
            <w:r>
              <w:rPr>
                <w:rFonts w:hint="eastAsia" w:ascii="宋体" w:hAnsi="宋体"/>
                <w:color w:val="auto"/>
                <w:sz w:val="21"/>
                <w:szCs w:val="21"/>
              </w:rPr>
              <w:t>能完全响应的</w:t>
            </w:r>
            <w:r>
              <w:rPr>
                <w:rFonts w:ascii="宋体" w:hAnsi="宋体"/>
                <w:color w:val="auto"/>
                <w:sz w:val="21"/>
                <w:szCs w:val="21"/>
              </w:rPr>
              <w:t>得</w:t>
            </w:r>
            <w:r>
              <w:rPr>
                <w:rFonts w:hint="eastAsia" w:ascii="宋体" w:hAnsi="宋体"/>
                <w:color w:val="auto"/>
                <w:sz w:val="21"/>
                <w:szCs w:val="21"/>
              </w:rPr>
              <w:t>3</w:t>
            </w:r>
            <w:r>
              <w:rPr>
                <w:rFonts w:ascii="宋体" w:hAnsi="宋体"/>
                <w:color w:val="auto"/>
                <w:sz w:val="21"/>
                <w:szCs w:val="21"/>
              </w:rPr>
              <w:t>分；</w:t>
            </w:r>
            <w:r>
              <w:rPr>
                <w:rFonts w:hint="eastAsia" w:ascii="宋体" w:hAnsi="宋体" w:cs="宋体"/>
                <w:color w:val="auto"/>
                <w:sz w:val="21"/>
                <w:szCs w:val="21"/>
              </w:rPr>
              <w:t>有不能响应或负偏离项的，本项不得分。</w:t>
            </w:r>
          </w:p>
        </w:tc>
        <w:tc>
          <w:tcPr>
            <w:tcW w:w="840" w:type="dxa"/>
            <w:vAlign w:val="center"/>
          </w:tcPr>
          <w:p>
            <w:pPr>
              <w:spacing w:line="300" w:lineRule="exact"/>
              <w:jc w:val="center"/>
              <w:rPr>
                <w:rFonts w:ascii="宋体" w:hAnsi="宋体"/>
                <w:color w:val="auto"/>
                <w:sz w:val="21"/>
                <w:szCs w:val="21"/>
              </w:rPr>
            </w:pPr>
            <w:r>
              <w:rPr>
                <w:rFonts w:hint="eastAsia" w:ascii="宋体" w:hAnsi="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85" w:type="dxa"/>
            <w:vAlign w:val="center"/>
          </w:tcPr>
          <w:p>
            <w:pPr>
              <w:snapToGrid w:val="0"/>
              <w:jc w:val="center"/>
              <w:rPr>
                <w:rFonts w:ascii="宋体" w:hAnsi="宋体" w:cs="宋体"/>
                <w:color w:val="auto"/>
                <w:sz w:val="21"/>
                <w:szCs w:val="21"/>
              </w:rPr>
            </w:pPr>
            <w:r>
              <w:rPr>
                <w:rFonts w:hint="eastAsia" w:ascii="宋体" w:hAnsi="宋体" w:cs="宋体"/>
                <w:color w:val="auto"/>
                <w:sz w:val="21"/>
                <w:szCs w:val="21"/>
              </w:rPr>
              <w:t>2</w:t>
            </w:r>
          </w:p>
        </w:tc>
        <w:tc>
          <w:tcPr>
            <w:tcW w:w="1920" w:type="dxa"/>
            <w:vAlign w:val="center"/>
          </w:tcPr>
          <w:p>
            <w:pPr>
              <w:pStyle w:val="9"/>
              <w:tabs>
                <w:tab w:val="left" w:pos="458"/>
              </w:tabs>
              <w:snapToGrid w:val="0"/>
              <w:ind w:firstLine="0" w:firstLineChars="0"/>
              <w:jc w:val="center"/>
              <w:rPr>
                <w:rFonts w:ascii="宋体" w:hAnsi="宋体"/>
                <w:color w:val="auto"/>
                <w:sz w:val="21"/>
                <w:szCs w:val="21"/>
                <w:lang w:val="en-GB"/>
              </w:rPr>
            </w:pPr>
            <w:r>
              <w:rPr>
                <w:rFonts w:hint="eastAsia" w:ascii="宋体" w:hAnsi="宋体"/>
                <w:color w:val="auto"/>
                <w:sz w:val="21"/>
                <w:szCs w:val="21"/>
                <w:lang w:val="en-US" w:eastAsia="zh-CN"/>
              </w:rPr>
              <w:t>同类项目</w:t>
            </w:r>
            <w:r>
              <w:rPr>
                <w:rFonts w:hint="eastAsia" w:ascii="宋体" w:hAnsi="宋体"/>
                <w:color w:val="auto"/>
                <w:sz w:val="21"/>
                <w:szCs w:val="21"/>
                <w:lang w:val="en-GB"/>
              </w:rPr>
              <w:t>业绩</w:t>
            </w:r>
          </w:p>
        </w:tc>
        <w:tc>
          <w:tcPr>
            <w:tcW w:w="5925" w:type="dxa"/>
            <w:vAlign w:val="center"/>
          </w:tcPr>
          <w:p>
            <w:pPr>
              <w:snapToGrid w:val="0"/>
              <w:spacing w:line="276" w:lineRule="auto"/>
              <w:rPr>
                <w:rFonts w:hint="eastAsia" w:ascii="宋体" w:hAnsi="宋体"/>
                <w:color w:val="auto"/>
                <w:sz w:val="21"/>
                <w:szCs w:val="21"/>
                <w:highlight w:val="none"/>
              </w:rPr>
            </w:pPr>
            <w:r>
              <w:rPr>
                <w:rFonts w:hint="eastAsia" w:ascii="宋体" w:hAnsi="宋体"/>
                <w:color w:val="auto"/>
                <w:sz w:val="21"/>
                <w:szCs w:val="21"/>
              </w:rPr>
              <w:t>2017年1月1日至今（以合同签订时间为准）承接过的</w:t>
            </w:r>
            <w:r>
              <w:rPr>
                <w:rFonts w:hint="eastAsia" w:ascii="宋体" w:hAnsi="宋体"/>
                <w:color w:val="auto"/>
                <w:sz w:val="21"/>
                <w:szCs w:val="21"/>
                <w:lang w:val="en-US" w:eastAsia="zh-CN"/>
              </w:rPr>
              <w:t>同类</w:t>
            </w:r>
            <w:r>
              <w:rPr>
                <w:rFonts w:hint="eastAsia" w:ascii="宋体" w:hAnsi="宋体"/>
                <w:color w:val="auto"/>
                <w:sz w:val="21"/>
                <w:szCs w:val="21"/>
              </w:rPr>
              <w:t>项</w:t>
            </w:r>
            <w:r>
              <w:rPr>
                <w:rFonts w:hint="eastAsia" w:ascii="宋体" w:hAnsi="宋体"/>
                <w:color w:val="auto"/>
                <w:sz w:val="21"/>
                <w:szCs w:val="21"/>
                <w:highlight w:val="none"/>
              </w:rPr>
              <w:t>目业绩</w:t>
            </w:r>
            <w:r>
              <w:rPr>
                <w:rFonts w:hint="eastAsia" w:ascii="宋体" w:hAnsi="宋体"/>
                <w:color w:val="auto"/>
                <w:sz w:val="21"/>
                <w:szCs w:val="21"/>
                <w:highlight w:val="none"/>
                <w:lang w:val="en-US" w:eastAsia="zh-CN"/>
              </w:rPr>
              <w:t>的</w:t>
            </w:r>
            <w:r>
              <w:rPr>
                <w:rFonts w:hint="eastAsia" w:ascii="宋体" w:hAnsi="宋体"/>
                <w:color w:val="auto"/>
                <w:sz w:val="21"/>
                <w:szCs w:val="21"/>
                <w:highlight w:val="none"/>
              </w:rPr>
              <w:t>：</w:t>
            </w:r>
          </w:p>
          <w:p>
            <w:pPr>
              <w:numPr>
                <w:ilvl w:val="0"/>
                <w:numId w:val="0"/>
              </w:numPr>
              <w:snapToGrid w:val="0"/>
              <w:spacing w:line="276" w:lineRule="auto"/>
              <w:ind w:left="210" w:leftChars="0" w:hanging="210" w:hangingChars="100"/>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每提供一个</w:t>
            </w:r>
            <w:r>
              <w:rPr>
                <w:rFonts w:hint="eastAsia" w:ascii="宋体" w:hAnsi="宋体"/>
                <w:color w:val="auto"/>
                <w:sz w:val="21"/>
                <w:szCs w:val="21"/>
                <w:highlight w:val="none"/>
                <w:lang w:eastAsia="zh-CN"/>
              </w:rPr>
              <w:t>与地铁站厅、站台、列车等媒体方式宣传</w:t>
            </w:r>
            <w:r>
              <w:rPr>
                <w:rFonts w:hint="eastAsia" w:ascii="宋体" w:hAnsi="宋体"/>
                <w:color w:val="auto"/>
                <w:sz w:val="21"/>
                <w:szCs w:val="21"/>
                <w:highlight w:val="none"/>
                <w:lang w:val="en-US" w:eastAsia="zh-CN"/>
              </w:rPr>
              <w:t>项目</w:t>
            </w:r>
            <w:r>
              <w:rPr>
                <w:rFonts w:hint="eastAsia" w:ascii="宋体" w:hAnsi="宋体"/>
                <w:color w:val="auto"/>
                <w:sz w:val="21"/>
                <w:szCs w:val="21"/>
                <w:highlight w:val="none"/>
                <w:lang w:eastAsia="zh-CN"/>
              </w:rPr>
              <w:t>的，</w:t>
            </w:r>
            <w:r>
              <w:rPr>
                <w:rFonts w:hint="eastAsia" w:ascii="宋体" w:hAnsi="宋体"/>
                <w:color w:val="auto"/>
                <w:sz w:val="21"/>
                <w:szCs w:val="21"/>
                <w:highlight w:val="none"/>
              </w:rPr>
              <w:t>得</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分</w:t>
            </w:r>
            <w:r>
              <w:rPr>
                <w:rFonts w:hint="eastAsia" w:ascii="宋体" w:hAnsi="宋体"/>
                <w:color w:val="auto"/>
                <w:sz w:val="21"/>
                <w:szCs w:val="21"/>
                <w:highlight w:val="none"/>
                <w:lang w:eastAsia="zh-CN"/>
              </w:rPr>
              <w:t>；</w:t>
            </w:r>
          </w:p>
          <w:p>
            <w:pPr>
              <w:numPr>
                <w:ilvl w:val="0"/>
                <w:numId w:val="0"/>
              </w:numPr>
              <w:snapToGrid w:val="0"/>
              <w:spacing w:line="276" w:lineRule="auto"/>
              <w:ind w:left="210" w:leftChars="0" w:hanging="210" w:hangingChars="100"/>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lang w:eastAsia="zh-CN"/>
              </w:rPr>
              <w:t>每提供一个与公共交通媒体方式（除地铁站厅、站台、列车等媒体方式）宣传</w:t>
            </w:r>
            <w:r>
              <w:rPr>
                <w:rFonts w:hint="eastAsia" w:ascii="宋体" w:hAnsi="宋体"/>
                <w:color w:val="auto"/>
                <w:sz w:val="21"/>
                <w:szCs w:val="21"/>
                <w:highlight w:val="none"/>
                <w:lang w:val="en-US" w:eastAsia="zh-CN"/>
              </w:rPr>
              <w:t>项目</w:t>
            </w:r>
            <w:r>
              <w:rPr>
                <w:rFonts w:hint="eastAsia" w:ascii="宋体" w:hAnsi="宋体"/>
                <w:color w:val="auto"/>
                <w:sz w:val="21"/>
                <w:szCs w:val="21"/>
                <w:highlight w:val="none"/>
                <w:lang w:eastAsia="zh-CN"/>
              </w:rPr>
              <w:t>的，得</w:t>
            </w:r>
            <w:r>
              <w:rPr>
                <w:rFonts w:hint="eastAsia" w:ascii="宋体" w:hAnsi="宋体"/>
                <w:color w:val="auto"/>
                <w:sz w:val="21"/>
                <w:szCs w:val="21"/>
                <w:highlight w:val="none"/>
                <w:lang w:val="en-US" w:eastAsia="zh-CN"/>
              </w:rPr>
              <w:t>2分；</w:t>
            </w:r>
          </w:p>
          <w:p>
            <w:pPr>
              <w:snapToGrid w:val="0"/>
              <w:spacing w:line="276" w:lineRule="auto"/>
              <w:rPr>
                <w:rFonts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本项最高得20分。</w:t>
            </w:r>
          </w:p>
          <w:p>
            <w:pPr>
              <w:snapToGrid w:val="0"/>
              <w:spacing w:line="276" w:lineRule="auto"/>
              <w:rPr>
                <w:rFonts w:ascii="宋体" w:hAnsi="宋体"/>
                <w:color w:val="auto"/>
                <w:sz w:val="21"/>
                <w:szCs w:val="21"/>
              </w:rPr>
            </w:pPr>
            <w:r>
              <w:rPr>
                <w:rFonts w:hint="eastAsia" w:ascii="宋体" w:hAnsi="宋体"/>
                <w:color w:val="auto"/>
                <w:sz w:val="21"/>
                <w:szCs w:val="21"/>
                <w:highlight w:val="none"/>
              </w:rPr>
              <w:t>注：提供合同</w:t>
            </w:r>
            <w:r>
              <w:rPr>
                <w:rFonts w:hint="eastAsia" w:ascii="宋体" w:hAnsi="宋体"/>
                <w:color w:val="auto"/>
                <w:sz w:val="21"/>
                <w:szCs w:val="21"/>
                <w:highlight w:val="none"/>
                <w:lang w:val="en-US" w:eastAsia="zh-CN"/>
              </w:rPr>
              <w:t>复</w:t>
            </w:r>
            <w:r>
              <w:rPr>
                <w:rFonts w:hint="eastAsia" w:ascii="宋体" w:hAnsi="宋体"/>
                <w:color w:val="auto"/>
                <w:sz w:val="21"/>
                <w:szCs w:val="21"/>
                <w:highlight w:val="none"/>
              </w:rPr>
              <w:t>印件</w:t>
            </w:r>
            <w:r>
              <w:rPr>
                <w:rFonts w:hint="eastAsia" w:ascii="宋体" w:hAnsi="宋体"/>
                <w:color w:val="auto"/>
                <w:sz w:val="21"/>
                <w:szCs w:val="21"/>
                <w:highlight w:val="none"/>
                <w:lang w:val="en-US" w:eastAsia="zh-CN"/>
              </w:rPr>
              <w:t>和</w:t>
            </w:r>
            <w:r>
              <w:rPr>
                <w:rFonts w:hint="eastAsia" w:ascii="宋体" w:hAnsi="宋体"/>
                <w:color w:val="auto"/>
                <w:sz w:val="21"/>
                <w:szCs w:val="21"/>
              </w:rPr>
              <w:t>现场宣传图片并加盖公章。如合同中无法反映项目内容，须提供委托方出具的证明函原件并加盖委托方单位公章，否则该项业绩不纳入评分计算；供应商提供的合同是否属于类似项目业绩以磋商小组认定为准。</w:t>
            </w:r>
          </w:p>
        </w:tc>
        <w:tc>
          <w:tcPr>
            <w:tcW w:w="840" w:type="dxa"/>
            <w:vAlign w:val="center"/>
          </w:tcPr>
          <w:p>
            <w:pPr>
              <w:pStyle w:val="9"/>
              <w:tabs>
                <w:tab w:val="left" w:pos="458"/>
              </w:tabs>
              <w:snapToGrid w:val="0"/>
              <w:ind w:firstLine="0" w:firstLineChars="0"/>
              <w:jc w:val="center"/>
              <w:rPr>
                <w:rFonts w:ascii="宋体" w:hAnsi="宋体"/>
                <w:color w:val="auto"/>
                <w:sz w:val="21"/>
                <w:szCs w:val="21"/>
                <w:lang w:val="en-GB"/>
              </w:rPr>
            </w:pPr>
            <w:r>
              <w:rPr>
                <w:rFonts w:hint="eastAsia" w:ascii="宋体" w:hAnsi="宋体"/>
                <w:color w:val="auto"/>
                <w:sz w:val="21"/>
                <w:szCs w:val="21"/>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85" w:type="dxa"/>
            <w:vAlign w:val="center"/>
          </w:tcPr>
          <w:p>
            <w:pPr>
              <w:snapToGrid w:val="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1920" w:type="dxa"/>
            <w:vAlign w:val="center"/>
          </w:tcPr>
          <w:p>
            <w:pPr>
              <w:pStyle w:val="9"/>
              <w:tabs>
                <w:tab w:val="left" w:pos="458"/>
              </w:tabs>
              <w:snapToGrid w:val="0"/>
              <w:ind w:firstLine="0" w:firstLineChars="0"/>
              <w:jc w:val="center"/>
              <w:rPr>
                <w:rFonts w:hint="eastAsia" w:ascii="宋体" w:hAnsi="宋体"/>
                <w:color w:val="auto"/>
                <w:sz w:val="21"/>
                <w:szCs w:val="21"/>
                <w:lang w:val="en-US" w:eastAsia="zh-CN"/>
              </w:rPr>
            </w:pPr>
            <w:r>
              <w:rPr>
                <w:rFonts w:hint="eastAsia" w:ascii="宋体" w:hAnsi="宋体"/>
                <w:color w:val="auto"/>
                <w:sz w:val="21"/>
                <w:szCs w:val="21"/>
                <w:highlight w:val="none"/>
                <w:lang w:val="en-GB" w:eastAsia="zh-CN"/>
              </w:rPr>
              <w:t>授权证明</w:t>
            </w:r>
          </w:p>
        </w:tc>
        <w:tc>
          <w:tcPr>
            <w:tcW w:w="5925" w:type="dxa"/>
            <w:vAlign w:val="center"/>
          </w:tcPr>
          <w:p>
            <w:pPr>
              <w:snapToGrid w:val="0"/>
              <w:spacing w:line="276" w:lineRule="auto"/>
              <w:rPr>
                <w:rFonts w:hint="default" w:ascii="宋体" w:hAnsi="宋体"/>
                <w:color w:val="auto"/>
                <w:sz w:val="21"/>
                <w:szCs w:val="21"/>
                <w:lang w:val="en-US" w:eastAsia="zh-CN"/>
              </w:rPr>
            </w:pPr>
            <w:r>
              <w:rPr>
                <w:rFonts w:hint="default" w:ascii="宋体" w:hAnsi="宋体"/>
                <w:color w:val="auto"/>
                <w:sz w:val="21"/>
                <w:szCs w:val="21"/>
                <w:lang w:val="en-US" w:eastAsia="zh-CN"/>
              </w:rPr>
              <w:t>供应商获得</w:t>
            </w:r>
            <w:r>
              <w:rPr>
                <w:rFonts w:hint="default" w:ascii="宋体" w:hAnsi="宋体"/>
                <w:color w:val="auto"/>
                <w:sz w:val="21"/>
                <w:szCs w:val="21"/>
                <w:lang w:eastAsia="zh-CN"/>
              </w:rPr>
              <w:t>广佛地铁线相关媒体宣传授权的，得</w:t>
            </w:r>
            <w:r>
              <w:rPr>
                <w:rFonts w:hint="default" w:ascii="宋体" w:hAnsi="宋体"/>
                <w:color w:val="auto"/>
                <w:sz w:val="21"/>
                <w:szCs w:val="21"/>
                <w:lang w:val="en-US" w:eastAsia="zh-CN"/>
              </w:rPr>
              <w:t>5分。</w:t>
            </w:r>
          </w:p>
          <w:p>
            <w:pPr>
              <w:spacing w:line="276" w:lineRule="auto"/>
              <w:rPr>
                <w:rFonts w:hint="default"/>
                <w:color w:val="auto"/>
                <w:lang w:val="en-US"/>
              </w:rPr>
            </w:pPr>
            <w:r>
              <w:rPr>
                <w:rFonts w:hint="default" w:ascii="宋体" w:hAnsi="宋体"/>
                <w:color w:val="auto"/>
                <w:sz w:val="21"/>
                <w:szCs w:val="21"/>
                <w:lang w:val="en-US" w:eastAsia="zh-CN"/>
              </w:rPr>
              <w:t>注：提供授权证明材料复印件加盖公章。</w:t>
            </w:r>
          </w:p>
        </w:tc>
        <w:tc>
          <w:tcPr>
            <w:tcW w:w="840" w:type="dxa"/>
            <w:vAlign w:val="center"/>
          </w:tcPr>
          <w:p>
            <w:pPr>
              <w:pStyle w:val="9"/>
              <w:tabs>
                <w:tab w:val="left" w:pos="458"/>
              </w:tabs>
              <w:snapToGrid w:val="0"/>
              <w:ind w:firstLine="0" w:firstLineChars="0"/>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85" w:type="dxa"/>
            <w:vAlign w:val="center"/>
          </w:tcPr>
          <w:p>
            <w:pPr>
              <w:snapToGrid w:val="0"/>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p>
        </w:tc>
        <w:tc>
          <w:tcPr>
            <w:tcW w:w="1920" w:type="dxa"/>
            <w:vAlign w:val="center"/>
          </w:tcPr>
          <w:p>
            <w:pPr>
              <w:spacing w:line="300" w:lineRule="exact"/>
              <w:jc w:val="center"/>
              <w:rPr>
                <w:rFonts w:ascii="宋体" w:hAnsi="宋体"/>
                <w:color w:val="auto"/>
                <w:sz w:val="21"/>
                <w:szCs w:val="21"/>
              </w:rPr>
            </w:pPr>
            <w:r>
              <w:rPr>
                <w:rFonts w:hint="eastAsia" w:ascii="宋体" w:hAnsi="宋体"/>
                <w:color w:val="auto"/>
                <w:sz w:val="21"/>
                <w:szCs w:val="21"/>
              </w:rPr>
              <w:t>企业综合实力</w:t>
            </w:r>
          </w:p>
        </w:tc>
        <w:tc>
          <w:tcPr>
            <w:tcW w:w="5925" w:type="dxa"/>
            <w:vAlign w:val="center"/>
          </w:tcPr>
          <w:p>
            <w:pPr>
              <w:spacing w:line="300" w:lineRule="exact"/>
              <w:rPr>
                <w:rFonts w:hint="eastAsia" w:ascii="宋体" w:hAnsi="宋体"/>
                <w:color w:val="auto"/>
                <w:sz w:val="21"/>
                <w:szCs w:val="21"/>
              </w:rPr>
            </w:pPr>
            <w:r>
              <w:rPr>
                <w:rFonts w:hint="eastAsia" w:ascii="宋体" w:hAnsi="宋体"/>
                <w:color w:val="auto"/>
                <w:sz w:val="21"/>
                <w:szCs w:val="21"/>
              </w:rPr>
              <w:t>对各供应商的企业综合实力（包括企业声誉、信誉、获奖情况等）进行评价：</w:t>
            </w:r>
          </w:p>
          <w:p>
            <w:pPr>
              <w:spacing w:line="300" w:lineRule="exact"/>
              <w:rPr>
                <w:rFonts w:hint="eastAsia" w:ascii="宋体" w:hAnsi="宋体"/>
                <w:color w:val="auto"/>
                <w:sz w:val="21"/>
                <w:szCs w:val="21"/>
              </w:rPr>
            </w:pPr>
            <w:r>
              <w:rPr>
                <w:rFonts w:hint="eastAsia" w:ascii="宋体" w:hAnsi="宋体"/>
                <w:color w:val="auto"/>
                <w:sz w:val="21"/>
                <w:szCs w:val="21"/>
              </w:rPr>
              <w:t>优：企业综合实力强，获得的企业声誉、信誉、获奖等证书多，得5分；</w:t>
            </w:r>
          </w:p>
          <w:p>
            <w:pPr>
              <w:spacing w:line="300" w:lineRule="exact"/>
              <w:rPr>
                <w:rFonts w:hint="eastAsia" w:ascii="宋体" w:hAnsi="宋体"/>
                <w:color w:val="auto"/>
                <w:sz w:val="21"/>
                <w:szCs w:val="21"/>
              </w:rPr>
            </w:pPr>
            <w:r>
              <w:rPr>
                <w:rFonts w:hint="eastAsia" w:ascii="宋体" w:hAnsi="宋体"/>
                <w:color w:val="auto"/>
                <w:sz w:val="21"/>
                <w:szCs w:val="21"/>
              </w:rPr>
              <w:t>良：企业综合实力较强，获得的企业声誉、信誉、获奖等证书较多，得3分；</w:t>
            </w:r>
          </w:p>
          <w:p>
            <w:pPr>
              <w:spacing w:line="300" w:lineRule="exact"/>
              <w:rPr>
                <w:rFonts w:hint="eastAsia" w:ascii="宋体" w:hAnsi="宋体"/>
                <w:color w:val="auto"/>
                <w:sz w:val="21"/>
                <w:szCs w:val="21"/>
              </w:rPr>
            </w:pPr>
            <w:r>
              <w:rPr>
                <w:rFonts w:hint="eastAsia" w:ascii="宋体" w:hAnsi="宋体"/>
                <w:color w:val="auto"/>
                <w:sz w:val="21"/>
                <w:szCs w:val="21"/>
              </w:rPr>
              <w:t>中：企业综合实力一般，有相关的企业声誉、信誉、获奖等证书，得1分；</w:t>
            </w:r>
          </w:p>
          <w:p>
            <w:pPr>
              <w:spacing w:line="300" w:lineRule="exact"/>
              <w:rPr>
                <w:rFonts w:hint="eastAsia" w:ascii="宋体" w:hAnsi="宋体"/>
                <w:color w:val="auto"/>
                <w:sz w:val="21"/>
                <w:szCs w:val="21"/>
              </w:rPr>
            </w:pPr>
            <w:r>
              <w:rPr>
                <w:rFonts w:hint="eastAsia" w:ascii="宋体" w:hAnsi="宋体"/>
                <w:color w:val="auto"/>
                <w:sz w:val="21"/>
                <w:szCs w:val="21"/>
              </w:rPr>
              <w:t>差：企业综合实力差，无提供任何证书的，得0分；</w:t>
            </w:r>
          </w:p>
          <w:p>
            <w:pPr>
              <w:spacing w:line="300" w:lineRule="exact"/>
              <w:rPr>
                <w:rFonts w:ascii="宋体" w:hAnsi="宋体"/>
                <w:color w:val="auto"/>
                <w:sz w:val="21"/>
                <w:szCs w:val="21"/>
              </w:rPr>
            </w:pPr>
            <w:r>
              <w:rPr>
                <w:rFonts w:hint="eastAsia" w:ascii="宋体" w:hAnsi="宋体"/>
                <w:color w:val="auto"/>
                <w:sz w:val="21"/>
                <w:szCs w:val="21"/>
              </w:rPr>
              <w:t>注：在响应文件中提供相关证明材料复印件并加盖公章。</w:t>
            </w:r>
          </w:p>
        </w:tc>
        <w:tc>
          <w:tcPr>
            <w:tcW w:w="840" w:type="dxa"/>
            <w:vAlign w:val="center"/>
          </w:tcPr>
          <w:p>
            <w:pPr>
              <w:snapToGrid w:val="0"/>
              <w:jc w:val="center"/>
              <w:rPr>
                <w:rFonts w:ascii="宋体" w:hAnsi="宋体"/>
                <w:color w:val="auto"/>
                <w:sz w:val="21"/>
                <w:szCs w:val="21"/>
              </w:rPr>
            </w:pPr>
            <w:r>
              <w:rPr>
                <w:rFonts w:hint="eastAsia" w:ascii="宋体" w:hAnsi="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85" w:type="dxa"/>
            <w:vAlign w:val="center"/>
          </w:tcPr>
          <w:p>
            <w:pPr>
              <w:snapToGrid w:val="0"/>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5</w:t>
            </w:r>
          </w:p>
        </w:tc>
        <w:tc>
          <w:tcPr>
            <w:tcW w:w="1920" w:type="dxa"/>
            <w:vAlign w:val="center"/>
          </w:tcPr>
          <w:p>
            <w:pPr>
              <w:spacing w:line="300" w:lineRule="exact"/>
              <w:jc w:val="center"/>
              <w:rPr>
                <w:rFonts w:ascii="宋体" w:hAnsi="宋体"/>
                <w:color w:val="auto"/>
                <w:sz w:val="21"/>
                <w:szCs w:val="21"/>
              </w:rPr>
            </w:pPr>
            <w:r>
              <w:rPr>
                <w:rFonts w:hint="eastAsia" w:ascii="宋体" w:hAnsi="宋体"/>
                <w:bCs/>
                <w:color w:val="auto"/>
                <w:sz w:val="21"/>
                <w:szCs w:val="21"/>
              </w:rPr>
              <w:t>服务响应能力</w:t>
            </w:r>
          </w:p>
        </w:tc>
        <w:tc>
          <w:tcPr>
            <w:tcW w:w="5925" w:type="dxa"/>
            <w:vAlign w:val="center"/>
          </w:tcPr>
          <w:p>
            <w:pPr>
              <w:spacing w:line="276" w:lineRule="auto"/>
              <w:rPr>
                <w:rFonts w:ascii="宋体" w:hAnsi="宋体"/>
                <w:color w:val="auto"/>
                <w:sz w:val="21"/>
                <w:szCs w:val="21"/>
              </w:rPr>
            </w:pPr>
            <w:r>
              <w:rPr>
                <w:rFonts w:hint="eastAsia" w:ascii="宋体" w:hAnsi="宋体"/>
                <w:color w:val="auto"/>
                <w:sz w:val="21"/>
                <w:szCs w:val="21"/>
              </w:rPr>
              <w:t>对各供应商的服务响应速度及服务机构便捷程度进行评价：</w:t>
            </w:r>
          </w:p>
          <w:p>
            <w:pPr>
              <w:spacing w:line="276" w:lineRule="auto"/>
              <w:rPr>
                <w:rFonts w:ascii="宋体" w:hAnsi="宋体"/>
                <w:color w:val="auto"/>
                <w:sz w:val="21"/>
                <w:szCs w:val="21"/>
              </w:rPr>
            </w:pPr>
            <w:r>
              <w:rPr>
                <w:rFonts w:hint="eastAsia" w:ascii="宋体" w:hAnsi="宋体"/>
                <w:color w:val="auto"/>
                <w:sz w:val="21"/>
                <w:szCs w:val="21"/>
              </w:rPr>
              <w:t>优：服务响应速度快，服务机构便捷，得7分；</w:t>
            </w:r>
          </w:p>
          <w:p>
            <w:pPr>
              <w:spacing w:line="276" w:lineRule="auto"/>
              <w:rPr>
                <w:rFonts w:ascii="宋体" w:hAnsi="宋体"/>
                <w:color w:val="auto"/>
                <w:sz w:val="21"/>
                <w:szCs w:val="21"/>
              </w:rPr>
            </w:pPr>
            <w:r>
              <w:rPr>
                <w:rFonts w:hint="eastAsia" w:ascii="宋体" w:hAnsi="宋体"/>
                <w:color w:val="auto"/>
                <w:sz w:val="21"/>
                <w:szCs w:val="21"/>
              </w:rPr>
              <w:t>良：服务响应速度较快，服务机构较便捷，得5分；</w:t>
            </w:r>
          </w:p>
          <w:p>
            <w:pPr>
              <w:spacing w:line="276" w:lineRule="auto"/>
              <w:rPr>
                <w:rFonts w:hint="eastAsia" w:ascii="宋体" w:hAnsi="宋体"/>
                <w:color w:val="auto"/>
                <w:sz w:val="21"/>
                <w:szCs w:val="21"/>
              </w:rPr>
            </w:pPr>
            <w:r>
              <w:rPr>
                <w:rFonts w:hint="eastAsia" w:ascii="宋体" w:hAnsi="宋体"/>
                <w:color w:val="auto"/>
                <w:sz w:val="21"/>
                <w:szCs w:val="21"/>
              </w:rPr>
              <w:t>中：服务响应速度一般，服务机构相对便捷，得3分。</w:t>
            </w:r>
          </w:p>
          <w:p>
            <w:pPr>
              <w:spacing w:line="276" w:lineRule="auto"/>
              <w:rPr>
                <w:rFonts w:ascii="宋体" w:hAnsi="宋体"/>
                <w:color w:val="auto"/>
                <w:sz w:val="21"/>
                <w:szCs w:val="21"/>
              </w:rPr>
            </w:pPr>
            <w:r>
              <w:rPr>
                <w:rFonts w:hint="eastAsia" w:ascii="宋体" w:hAnsi="宋体"/>
                <w:color w:val="auto"/>
                <w:sz w:val="21"/>
                <w:szCs w:val="21"/>
              </w:rPr>
              <w:t>差：服务响应速度慢，服务机构不便捷，得1分。</w:t>
            </w:r>
          </w:p>
          <w:p>
            <w:pPr>
              <w:jc w:val="left"/>
              <w:rPr>
                <w:rFonts w:hAnsi="宋体" w:cs="宋体"/>
                <w:color w:val="auto"/>
                <w:sz w:val="21"/>
                <w:szCs w:val="21"/>
              </w:rPr>
            </w:pPr>
            <w:r>
              <w:rPr>
                <w:rFonts w:hint="eastAsia" w:ascii="宋体" w:hAnsi="宋体"/>
                <w:color w:val="auto"/>
                <w:sz w:val="21"/>
                <w:szCs w:val="21"/>
              </w:rPr>
              <w:t>注：需提供供应商服务机构的营业执照（如为服务点，则须相关证明材料）。</w:t>
            </w:r>
          </w:p>
        </w:tc>
        <w:tc>
          <w:tcPr>
            <w:tcW w:w="840" w:type="dxa"/>
            <w:vAlign w:val="center"/>
          </w:tcPr>
          <w:p>
            <w:pPr>
              <w:snapToGrid w:val="0"/>
              <w:jc w:val="center"/>
              <w:rPr>
                <w:rFonts w:ascii="宋体" w:hAnsi="宋体"/>
                <w:color w:val="auto"/>
                <w:sz w:val="21"/>
                <w:szCs w:val="21"/>
              </w:rPr>
            </w:pPr>
            <w:r>
              <w:rPr>
                <w:rFonts w:hint="eastAsia" w:ascii="宋体" w:hAnsi="宋体"/>
                <w:color w:val="auto"/>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270" w:type="dxa"/>
            <w:gridSpan w:val="4"/>
            <w:vAlign w:val="center"/>
          </w:tcPr>
          <w:p>
            <w:pPr>
              <w:snapToGrid w:val="0"/>
              <w:rPr>
                <w:rFonts w:ascii="仿宋_GB2312" w:hAnsi="宋体" w:eastAsia="仿宋_GB2312"/>
                <w:color w:val="auto"/>
                <w:sz w:val="21"/>
                <w:szCs w:val="21"/>
              </w:rPr>
            </w:pPr>
            <w:r>
              <w:rPr>
                <w:rFonts w:hint="eastAsia" w:ascii="仿宋_GB2312" w:hAnsi="宋体" w:eastAsia="仿宋_GB2312"/>
                <w:b/>
                <w:bCs/>
                <w:color w:val="auto"/>
                <w:sz w:val="21"/>
                <w:szCs w:val="21"/>
              </w:rPr>
              <w:t>注：</w:t>
            </w:r>
            <w:r>
              <w:rPr>
                <w:rFonts w:hint="eastAsia" w:ascii="仿宋_GB2312" w:hAnsi="宋体" w:eastAsia="仿宋_GB2312"/>
                <w:color w:val="auto"/>
                <w:sz w:val="21"/>
                <w:szCs w:val="21"/>
              </w:rPr>
              <w:t>证明材料均为复印件或扫描件或打印件，并加盖单位公章。</w:t>
            </w:r>
          </w:p>
        </w:tc>
      </w:tr>
    </w:tbl>
    <w:p>
      <w:pPr>
        <w:pStyle w:val="5"/>
        <w:rPr>
          <w:rFonts w:ascii="宋体" w:hAnsi="宋体"/>
          <w:b/>
          <w:color w:val="auto"/>
          <w:lang w:val="en-GB"/>
        </w:rPr>
      </w:pPr>
    </w:p>
    <w:p>
      <w:pPr>
        <w:keepNext w:val="0"/>
        <w:keepLines w:val="0"/>
        <w:pageBreakBefore w:val="0"/>
        <w:widowControl w:val="0"/>
        <w:numPr>
          <w:ilvl w:val="0"/>
          <w:numId w:val="5"/>
        </w:numPr>
        <w:tabs>
          <w:tab w:val="left" w:pos="540"/>
        </w:tabs>
        <w:kinsoku/>
        <w:wordWrap/>
        <w:overflowPunct/>
        <w:topLinePunct w:val="0"/>
        <w:autoSpaceDE/>
        <w:autoSpaceDN/>
        <w:bidi w:val="0"/>
        <w:adjustRightInd/>
        <w:snapToGrid/>
        <w:spacing w:line="360" w:lineRule="auto"/>
        <w:ind w:left="510"/>
        <w:textAlignment w:val="auto"/>
        <w:rPr>
          <w:rFonts w:hint="eastAsia" w:ascii="宋体" w:hAnsi="宋体"/>
          <w:b/>
          <w:color w:val="auto"/>
          <w:lang w:val="en-GB"/>
        </w:rPr>
      </w:pPr>
      <w:r>
        <w:rPr>
          <w:rFonts w:hint="eastAsia" w:ascii="宋体" w:hAnsi="宋体"/>
          <w:b/>
          <w:color w:val="auto"/>
          <w:lang w:val="en-GB"/>
        </w:rPr>
        <w:t>价格部分评审标准</w:t>
      </w:r>
    </w:p>
    <w:p>
      <w:pPr>
        <w:keepNext w:val="0"/>
        <w:keepLines w:val="0"/>
        <w:pageBreakBefore w:val="0"/>
        <w:widowControl w:val="0"/>
        <w:numPr>
          <w:ilvl w:val="1"/>
          <w:numId w:val="6"/>
        </w:numPr>
        <w:tabs>
          <w:tab w:val="left" w:pos="540"/>
        </w:tabs>
        <w:kinsoku/>
        <w:wordWrap/>
        <w:overflowPunct/>
        <w:topLinePunct w:val="0"/>
        <w:autoSpaceDE/>
        <w:autoSpaceDN/>
        <w:bidi w:val="0"/>
        <w:adjustRightInd/>
        <w:snapToGrid/>
        <w:spacing w:line="360" w:lineRule="auto"/>
        <w:ind w:left="510"/>
        <w:textAlignment w:val="auto"/>
        <w:rPr>
          <w:rFonts w:hint="eastAsia" w:ascii="宋体" w:hAnsi="宋体"/>
          <w:color w:val="auto"/>
          <w:lang w:val="en-GB"/>
        </w:rPr>
      </w:pPr>
      <w:r>
        <w:rPr>
          <w:rFonts w:hint="eastAsia" w:ascii="宋体" w:hAnsi="宋体"/>
          <w:color w:val="auto"/>
          <w:lang w:val="en-GB"/>
        </w:rPr>
        <w:t>经磋商小组审核，满足磋商文件要求且最低价者定为磋商基准价，其价格分为满分。其他</w:t>
      </w:r>
      <w:r>
        <w:rPr>
          <w:rFonts w:hint="eastAsia" w:ascii="宋体" w:hAnsi="宋体"/>
          <w:color w:val="auto"/>
          <w:lang w:val="en-GB" w:eastAsia="zh-CN"/>
        </w:rPr>
        <w:t>供应商</w:t>
      </w:r>
      <w:r>
        <w:rPr>
          <w:rFonts w:hint="eastAsia" w:ascii="宋体" w:hAnsi="宋体"/>
          <w:color w:val="auto"/>
          <w:lang w:val="en-GB"/>
        </w:rPr>
        <w:t>的价格分统一按下列公式折算递减。即：</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10"/>
        <w:textAlignment w:val="auto"/>
        <w:rPr>
          <w:rFonts w:hint="eastAsia" w:ascii="宋体" w:hAnsi="宋体"/>
          <w:color w:val="auto"/>
          <w:lang w:val="en-GB"/>
        </w:rPr>
      </w:pPr>
      <w:r>
        <w:rPr>
          <w:rFonts w:hint="eastAsia" w:ascii="宋体" w:hAnsi="宋体"/>
          <w:color w:val="auto"/>
          <w:lang w:val="en-GB"/>
        </w:rPr>
        <w:t>其他磋商报价得分 = （磋商基准价÷评审价格） ×</w:t>
      </w:r>
      <w:r>
        <w:rPr>
          <w:rFonts w:ascii="宋体" w:hAnsi="宋体"/>
          <w:color w:val="auto"/>
          <w:lang w:val="en-GB"/>
        </w:rPr>
        <w:t xml:space="preserve"> </w:t>
      </w:r>
      <w:r>
        <w:rPr>
          <w:rFonts w:hint="eastAsia" w:ascii="宋体" w:hAnsi="宋体"/>
          <w:color w:val="auto"/>
          <w:lang w:val="en-GB"/>
        </w:rPr>
        <w:t>价格部分分值</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10"/>
        <w:textAlignment w:val="auto"/>
      </w:pPr>
      <w:r>
        <w:rPr>
          <w:rFonts w:hint="eastAsia" w:ascii="宋体" w:hAnsi="宋体"/>
          <w:color w:val="auto"/>
          <w:lang w:val="en-GB"/>
        </w:rPr>
        <w:t>（评审价格、评标基准价均精确到两位小数）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仿宋简体">
    <w:altName w:val="宋体"/>
    <w:panose1 w:val="02010601030101010101"/>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auto"/>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微软简标宋">
    <w:altName w:val="宋体"/>
    <w:panose1 w:val="00000000000000000000"/>
    <w:charset w:val="86"/>
    <w:family w:val="auto"/>
    <w:pitch w:val="default"/>
    <w:sig w:usb0="00000000" w:usb1="00000000" w:usb2="00000010" w:usb3="00000000" w:csb0="00040000" w:csb1="00000000"/>
  </w:font>
  <w:font w:name="Arial Rounded MT Bold">
    <w:altName w:val="Arial"/>
    <w:panose1 w:val="020F0704030504030204"/>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B1392"/>
    <w:multiLevelType w:val="multilevel"/>
    <w:tmpl w:val="83FB13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BAE73DCC"/>
    <w:multiLevelType w:val="multilevel"/>
    <w:tmpl w:val="BAE73DC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5D2A08"/>
    <w:multiLevelType w:val="multilevel"/>
    <w:tmpl w:val="195D2A08"/>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4">
    <w:nsid w:val="6BFE3129"/>
    <w:multiLevelType w:val="multilevel"/>
    <w:tmpl w:val="6BFE3129"/>
    <w:lvl w:ilvl="0" w:tentative="0">
      <w:start w:val="1"/>
      <w:numFmt w:val="decimal"/>
      <w:lvlText w:val="1.%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eastAsia"/>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1E70C01"/>
    <w:multiLevelType w:val="multilevel"/>
    <w:tmpl w:val="71E70C01"/>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54A6A"/>
    <w:rsid w:val="69824D77"/>
    <w:rsid w:val="6E054A6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9"/>
    <w:pPr>
      <w:keepNext/>
      <w:keepLines/>
      <w:outlineLvl w:val="0"/>
    </w:pPr>
    <w:rPr>
      <w:b/>
      <w:bCs/>
      <w:kern w:val="44"/>
      <w:sz w:val="52"/>
      <w:szCs w:val="44"/>
    </w:rPr>
  </w:style>
  <w:style w:type="paragraph" w:styleId="3">
    <w:name w:val="heading 2"/>
    <w:basedOn w:val="1"/>
    <w:next w:val="1"/>
    <w:qFormat/>
    <w:uiPriority w:val="9"/>
    <w:pPr>
      <w:keepNext/>
      <w:keepLines/>
      <w:outlineLvl w:val="1"/>
    </w:pPr>
    <w:rPr>
      <w:rFonts w:ascii="Cambria" w:hAnsi="Cambria"/>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caption"/>
    <w:basedOn w:val="1"/>
    <w:next w:val="1"/>
    <w:qFormat/>
    <w:uiPriority w:val="0"/>
    <w:rPr>
      <w:rFonts w:ascii="Cambria" w:hAnsi="Cambria" w:eastAsia="黑体"/>
      <w:sz w:val="20"/>
      <w:szCs w:val="20"/>
    </w:rPr>
  </w:style>
  <w:style w:type="paragraph" w:styleId="5">
    <w:name w:val="Plain Text"/>
    <w:basedOn w:val="1"/>
    <w:qFormat/>
    <w:uiPriority w:val="0"/>
    <w:rPr>
      <w:rFonts w:ascii="宋体" w:hAnsi="Courier New"/>
      <w:sz w:val="21"/>
      <w:szCs w:val="21"/>
    </w:rPr>
  </w:style>
  <w:style w:type="paragraph" w:customStyle="1" w:styleId="8">
    <w:name w:val="题注4"/>
    <w:basedOn w:val="1"/>
    <w:next w:val="4"/>
    <w:qFormat/>
    <w:uiPriority w:val="0"/>
    <w:pPr>
      <w:ind w:left="-40" w:leftChars="-41" w:right="-107" w:rightChars="-51" w:hanging="46"/>
      <w:jc w:val="center"/>
    </w:pPr>
    <w:rPr>
      <w:b/>
      <w:color w:val="000000"/>
      <w:sz w:val="18"/>
      <w:szCs w:val="21"/>
      <w:lang w:val="en-GB"/>
    </w:r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2021-07-26T04:46:00Z</dcterms:created>
  <dc:creator>Administrator</dc:creator>
  <cp:lastModifiedBy>黎竞华</cp:lastModifiedBy>
  <dcterms:modified xsi:type="dcterms:W3CDTF">2021-07-26T07:03:43Z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8CE985A5580C4EB78D8A3A03B7123000</vt:lpwstr>
  </property>
</Properties>
</file>