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572" w:lineRule="exact"/>
        <w:jc w:val="both"/>
        <w:outlineLvl w:val="0"/>
        <w:rPr>
          <w:rFonts w:hint="eastAsia" w:ascii="仿宋_GB2312" w:hAnsi="仿宋_GB2312" w:eastAsia="仿宋_GB2312" w:cs="仿宋_GB2312"/>
          <w:kern w:val="0"/>
          <w:sz w:val="32"/>
          <w:szCs w:val="32"/>
        </w:rPr>
      </w:pPr>
      <w:r>
        <w:rPr>
          <w:rFonts w:hint="eastAsia" w:ascii="黑体" w:hAnsi="黑体" w:eastAsia="黑体" w:cs="仿宋_GB2312"/>
          <w:kern w:val="0"/>
          <w:sz w:val="32"/>
          <w:szCs w:val="32"/>
        </w:rPr>
        <w:t>附件</w:t>
      </w:r>
      <w:bookmarkStart w:id="0" w:name="OLE_LINK2"/>
      <w:bookmarkStart w:id="1" w:name="OLE_LINK1"/>
      <w:bookmarkStart w:id="2" w:name="OLE_LINK3"/>
      <w:r>
        <w:rPr>
          <w:rFonts w:hint="eastAsia" w:ascii="黑体" w:hAnsi="黑体" w:eastAsia="黑体" w:cs="仿宋_GB2312"/>
          <w:kern w:val="0"/>
          <w:sz w:val="32"/>
          <w:szCs w:val="32"/>
        </w:rPr>
        <w:t>3</w:t>
      </w:r>
    </w:p>
    <w:p>
      <w:pPr>
        <w:pStyle w:val="4"/>
        <w:widowControl/>
        <w:spacing w:line="572" w:lineRule="exact"/>
        <w:jc w:val="both"/>
        <w:outlineLvl w:val="0"/>
        <w:rPr>
          <w:rFonts w:hint="eastAsia" w:ascii="仿宋_GB2312" w:hAnsi="仿宋_GB2312" w:eastAsia="仿宋_GB2312" w:cs="仿宋_GB2312"/>
          <w:kern w:val="0"/>
          <w:sz w:val="32"/>
          <w:szCs w:val="32"/>
        </w:rPr>
      </w:pPr>
    </w:p>
    <w:bookmarkEnd w:id="0"/>
    <w:bookmarkEnd w:id="1"/>
    <w:bookmarkEnd w:id="2"/>
    <w:p>
      <w:pPr>
        <w:pStyle w:val="4"/>
        <w:widowControl/>
        <w:tabs>
          <w:tab w:val="left" w:pos="6090"/>
        </w:tabs>
        <w:spacing w:line="572" w:lineRule="exact"/>
        <w:jc w:val="center"/>
        <w:outlineLvl w:val="0"/>
        <w:rPr>
          <w:rFonts w:hint="eastAsia" w:ascii="方正小标宋简体" w:hAnsi="方正小标宋简体" w:eastAsia="方正小标宋简体" w:cs="Times New Roman"/>
          <w:sz w:val="44"/>
          <w:szCs w:val="36"/>
        </w:rPr>
      </w:pPr>
      <w:r>
        <w:rPr>
          <w:rFonts w:hint="eastAsia" w:ascii="方正小标宋简体" w:hAnsi="方正小标宋简体" w:eastAsia="方正小标宋简体" w:cs="Times New Roman"/>
          <w:sz w:val="44"/>
          <w:szCs w:val="36"/>
        </w:rPr>
        <w:t>20</w:t>
      </w:r>
      <w:r>
        <w:rPr>
          <w:rFonts w:hint="eastAsia" w:ascii="方正小标宋简体" w:hAnsi="方正小标宋简体" w:eastAsia="方正小标宋简体" w:cs="Times New Roman"/>
          <w:sz w:val="44"/>
          <w:szCs w:val="36"/>
          <w:lang w:val="en-US" w:eastAsia="zh-CN"/>
        </w:rPr>
        <w:t>20</w:t>
      </w:r>
      <w:r>
        <w:rPr>
          <w:rFonts w:hint="eastAsia" w:ascii="方正小标宋简体" w:hAnsi="方正小标宋简体" w:eastAsia="方正小标宋简体" w:cs="Times New Roman"/>
          <w:sz w:val="44"/>
          <w:szCs w:val="36"/>
        </w:rPr>
        <w:t>年度全面推行河长制湖长制公众评价方法</w:t>
      </w:r>
    </w:p>
    <w:p>
      <w:pPr>
        <w:pStyle w:val="4"/>
        <w:snapToGrid w:val="0"/>
        <w:spacing w:line="360" w:lineRule="auto"/>
        <w:ind w:firstLine="640" w:firstLineChars="200"/>
        <w:rPr>
          <w:rFonts w:ascii="黑体" w:hAnsi="黑体" w:eastAsia="黑体"/>
          <w:sz w:val="32"/>
          <w:szCs w:val="32"/>
        </w:rPr>
      </w:pPr>
    </w:p>
    <w:p>
      <w:pPr>
        <w:pStyle w:val="4"/>
        <w:adjustRightInd w:val="0"/>
        <w:snapToGrid w:val="0"/>
        <w:spacing w:line="52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年度河长制湖长制公众评价重点调查公众对所在地区的河长制湖长制建设和河湖管理保护工作的知晓度、参与度、满意度、信心度和支持度。可在各级政府及各级</w:t>
      </w:r>
      <w:r>
        <w:rPr>
          <w:rFonts w:hint="eastAsia" w:ascii="仿宋_GB2312" w:hAnsi="仿宋_GB2312" w:eastAsia="仿宋_GB2312"/>
          <w:sz w:val="32"/>
          <w:szCs w:val="32"/>
          <w:lang w:eastAsia="zh-CN"/>
        </w:rPr>
        <w:t>河长办</w:t>
      </w:r>
      <w:r>
        <w:rPr>
          <w:rFonts w:hint="eastAsia" w:ascii="仿宋_GB2312" w:hAnsi="仿宋_GB2312" w:eastAsia="仿宋_GB2312"/>
          <w:sz w:val="32"/>
          <w:szCs w:val="32"/>
        </w:rPr>
        <w:t>的官网、微信公众号等设置评价问卷的网页链接，以确保问卷数量。</w:t>
      </w:r>
    </w:p>
    <w:p>
      <w:pPr>
        <w:pStyle w:val="4"/>
        <w:adjustRightInd w:val="0"/>
        <w:snapToGrid w:val="0"/>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一、评价内容</w:t>
      </w:r>
    </w:p>
    <w:p>
      <w:pPr>
        <w:pStyle w:val="4"/>
        <w:adjustRightInd w:val="0"/>
        <w:snapToGrid w:val="0"/>
        <w:spacing w:line="52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公众评价内容包括知晓度、参与度、满意度、信心度、支持度。其中，“知晓度”体现制度与政策的宣贯效果；“参与度”体现当前河长制湖长制工作能否转化为广泛的公众参与、形成政策乘数效应；“满意度”体现公众对所在地区河长制湖长制和河湖管护等工作的满意程度；“信心度”体现公众对于政府、河长在水治理工作中工作形象与公信度的评价；“支持度”体现未来公众主动践行绿色发展理念、维护河湖健康生命的自觉意愿。具体评价内容见下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34"/>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951" w:type="dxa"/>
            <w:noWrap w:val="0"/>
            <w:vAlign w:val="center"/>
          </w:tcPr>
          <w:p>
            <w:pPr>
              <w:pStyle w:val="4"/>
              <w:adjustRightInd w:val="0"/>
              <w:snapToGrid w:val="0"/>
              <w:jc w:val="center"/>
              <w:rPr>
                <w:rFonts w:eastAsia="黑体"/>
                <w:sz w:val="28"/>
                <w:szCs w:val="28"/>
              </w:rPr>
            </w:pPr>
            <w:r>
              <w:rPr>
                <w:rFonts w:eastAsia="黑体"/>
                <w:sz w:val="28"/>
                <w:szCs w:val="28"/>
              </w:rPr>
              <w:t>评价项目</w:t>
            </w:r>
          </w:p>
        </w:tc>
        <w:tc>
          <w:tcPr>
            <w:tcW w:w="1134" w:type="dxa"/>
            <w:noWrap w:val="0"/>
            <w:vAlign w:val="center"/>
          </w:tcPr>
          <w:p>
            <w:pPr>
              <w:pStyle w:val="4"/>
              <w:adjustRightInd w:val="0"/>
              <w:snapToGrid w:val="0"/>
              <w:jc w:val="center"/>
              <w:rPr>
                <w:rFonts w:eastAsia="黑体"/>
                <w:sz w:val="28"/>
                <w:szCs w:val="28"/>
              </w:rPr>
            </w:pPr>
            <w:r>
              <w:rPr>
                <w:rFonts w:eastAsia="黑体"/>
                <w:sz w:val="28"/>
                <w:szCs w:val="28"/>
              </w:rPr>
              <w:t>序号</w:t>
            </w:r>
          </w:p>
        </w:tc>
        <w:tc>
          <w:tcPr>
            <w:tcW w:w="5437" w:type="dxa"/>
            <w:noWrap w:val="0"/>
            <w:vAlign w:val="center"/>
          </w:tcPr>
          <w:p>
            <w:pPr>
              <w:pStyle w:val="4"/>
              <w:adjustRightInd w:val="0"/>
              <w:snapToGrid w:val="0"/>
              <w:jc w:val="center"/>
              <w:rPr>
                <w:rFonts w:eastAsia="黑体"/>
                <w:sz w:val="28"/>
                <w:szCs w:val="28"/>
              </w:rPr>
            </w:pPr>
            <w:r>
              <w:rPr>
                <w:rFonts w:hint="eastAsia" w:eastAsia="黑体"/>
                <w:sz w:val="28"/>
                <w:szCs w:val="28"/>
              </w:rPr>
              <w:t>主要</w:t>
            </w:r>
            <w:r>
              <w:rPr>
                <w:rFonts w:eastAsia="黑体"/>
                <w:sz w:val="28"/>
                <w:szCs w:val="28"/>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restart"/>
            <w:noWrap w:val="0"/>
            <w:vAlign w:val="center"/>
          </w:tcPr>
          <w:p>
            <w:pPr>
              <w:pStyle w:val="4"/>
              <w:adjustRightInd w:val="0"/>
              <w:snapToGrid w:val="0"/>
              <w:jc w:val="center"/>
              <w:rPr>
                <w:rFonts w:eastAsia="仿宋_GB2312"/>
                <w:sz w:val="28"/>
                <w:szCs w:val="28"/>
              </w:rPr>
            </w:pPr>
            <w:r>
              <w:rPr>
                <w:rFonts w:eastAsia="仿宋_GB2312"/>
                <w:sz w:val="28"/>
                <w:szCs w:val="28"/>
              </w:rPr>
              <w:t>知晓度</w:t>
            </w: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1</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是否知道河长制湖长制工作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2</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是否知道所在地区河流河长是谁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3</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河流治理力度变化感知情况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4</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政府各类宣传感知情况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5</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政府各类宣传效果识别度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restart"/>
            <w:noWrap w:val="0"/>
            <w:vAlign w:val="center"/>
          </w:tcPr>
          <w:p>
            <w:pPr>
              <w:pStyle w:val="4"/>
              <w:adjustRightInd w:val="0"/>
              <w:snapToGrid w:val="0"/>
              <w:jc w:val="center"/>
              <w:rPr>
                <w:rFonts w:eastAsia="仿宋_GB2312"/>
                <w:sz w:val="28"/>
                <w:szCs w:val="28"/>
              </w:rPr>
            </w:pPr>
            <w:r>
              <w:rPr>
                <w:rFonts w:eastAsia="仿宋_GB2312"/>
                <w:sz w:val="28"/>
                <w:szCs w:val="28"/>
              </w:rPr>
              <w:t>参与度</w:t>
            </w: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6</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公众日常生活污染行为改善情况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7</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公众工作生产时污染行为改善情况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8</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公众参与政府相关社会活动情况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restart"/>
            <w:noWrap w:val="0"/>
            <w:vAlign w:val="center"/>
          </w:tcPr>
          <w:p>
            <w:pPr>
              <w:pStyle w:val="4"/>
              <w:adjustRightInd w:val="0"/>
              <w:snapToGrid w:val="0"/>
              <w:jc w:val="center"/>
              <w:rPr>
                <w:rFonts w:eastAsia="仿宋_GB2312"/>
                <w:sz w:val="28"/>
                <w:szCs w:val="28"/>
              </w:rPr>
            </w:pPr>
            <w:r>
              <w:rPr>
                <w:rFonts w:eastAsia="仿宋_GB2312"/>
                <w:sz w:val="28"/>
                <w:szCs w:val="28"/>
              </w:rPr>
              <w:t>满意度</w:t>
            </w: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9</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水资源保护工作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10</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水安全保障工作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11</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水污染防治工作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12</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水环境改善工作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13</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水生态修复工作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14</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水域岸线管理工作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15</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执法监管工作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restart"/>
            <w:noWrap w:val="0"/>
            <w:vAlign w:val="center"/>
          </w:tcPr>
          <w:p>
            <w:pPr>
              <w:pStyle w:val="4"/>
              <w:adjustRightInd w:val="0"/>
              <w:snapToGrid w:val="0"/>
              <w:jc w:val="center"/>
              <w:rPr>
                <w:rFonts w:eastAsia="仿宋_GB2312"/>
                <w:sz w:val="28"/>
                <w:szCs w:val="28"/>
              </w:rPr>
            </w:pPr>
            <w:r>
              <w:rPr>
                <w:rFonts w:eastAsia="仿宋_GB2312"/>
                <w:sz w:val="28"/>
                <w:szCs w:val="28"/>
              </w:rPr>
              <w:t>信心度</w:t>
            </w: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16</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政府治水形象改观情况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17</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政府治水成</w:t>
            </w:r>
            <w:r>
              <w:rPr>
                <w:rFonts w:hint="eastAsia" w:eastAsia="仿宋_GB2312"/>
                <w:sz w:val="28"/>
                <w:szCs w:val="28"/>
              </w:rPr>
              <w:t>效</w:t>
            </w:r>
            <w:r>
              <w:rPr>
                <w:rFonts w:eastAsia="仿宋_GB2312"/>
                <w:sz w:val="28"/>
                <w:szCs w:val="28"/>
              </w:rPr>
              <w:t>期待心理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18</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社会各界合力治水期待心理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restart"/>
            <w:noWrap w:val="0"/>
            <w:vAlign w:val="center"/>
          </w:tcPr>
          <w:p>
            <w:pPr>
              <w:pStyle w:val="4"/>
              <w:adjustRightInd w:val="0"/>
              <w:snapToGrid w:val="0"/>
              <w:jc w:val="center"/>
              <w:rPr>
                <w:rFonts w:eastAsia="仿宋_GB2312"/>
                <w:sz w:val="28"/>
                <w:szCs w:val="28"/>
              </w:rPr>
            </w:pPr>
            <w:r>
              <w:rPr>
                <w:rFonts w:eastAsia="仿宋_GB2312"/>
                <w:sz w:val="28"/>
                <w:szCs w:val="28"/>
              </w:rPr>
              <w:t>支持度</w:t>
            </w: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19</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最支持河长制湖长制中的哪一项工作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Merge w:val="continue"/>
            <w:noWrap w:val="0"/>
            <w:vAlign w:val="center"/>
          </w:tcPr>
          <w:p>
            <w:pPr>
              <w:pStyle w:val="4"/>
              <w:adjustRightInd w:val="0"/>
              <w:snapToGrid w:val="0"/>
              <w:jc w:val="center"/>
              <w:rPr>
                <w:rFonts w:eastAsia="仿宋_GB2312"/>
                <w:sz w:val="28"/>
                <w:szCs w:val="28"/>
              </w:rPr>
            </w:pPr>
          </w:p>
        </w:tc>
        <w:tc>
          <w:tcPr>
            <w:tcW w:w="1134" w:type="dxa"/>
            <w:noWrap w:val="0"/>
            <w:vAlign w:val="center"/>
          </w:tcPr>
          <w:p>
            <w:pPr>
              <w:pStyle w:val="4"/>
              <w:adjustRightInd w:val="0"/>
              <w:snapToGrid w:val="0"/>
              <w:jc w:val="center"/>
              <w:rPr>
                <w:rFonts w:eastAsia="仿宋_GB2312"/>
                <w:sz w:val="28"/>
                <w:szCs w:val="28"/>
              </w:rPr>
            </w:pPr>
            <w:r>
              <w:rPr>
                <w:rFonts w:eastAsia="仿宋_GB2312"/>
                <w:sz w:val="28"/>
                <w:szCs w:val="28"/>
              </w:rPr>
              <w:t>20</w:t>
            </w:r>
          </w:p>
        </w:tc>
        <w:tc>
          <w:tcPr>
            <w:tcW w:w="5437" w:type="dxa"/>
            <w:noWrap w:val="0"/>
            <w:vAlign w:val="center"/>
          </w:tcPr>
          <w:p>
            <w:pPr>
              <w:pStyle w:val="4"/>
              <w:adjustRightInd w:val="0"/>
              <w:snapToGrid w:val="0"/>
              <w:rPr>
                <w:rFonts w:eastAsia="仿宋_GB2312"/>
                <w:sz w:val="28"/>
                <w:szCs w:val="28"/>
              </w:rPr>
            </w:pPr>
            <w:r>
              <w:rPr>
                <w:rFonts w:eastAsia="仿宋_GB2312"/>
                <w:sz w:val="28"/>
                <w:szCs w:val="28"/>
              </w:rPr>
              <w:t>未来维护河湖健康自觉意愿情况</w:t>
            </w:r>
          </w:p>
        </w:tc>
      </w:tr>
    </w:tbl>
    <w:p>
      <w:pPr>
        <w:pStyle w:val="4"/>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二、评分方法</w:t>
      </w:r>
    </w:p>
    <w:p>
      <w:pPr>
        <w:pStyle w:val="4"/>
        <w:snapToGrid w:val="0"/>
        <w:spacing w:line="520" w:lineRule="exact"/>
        <w:ind w:firstLine="640" w:firstLineChars="200"/>
        <w:rPr>
          <w:rFonts w:eastAsia="仿宋_GB2312"/>
          <w:sz w:val="32"/>
          <w:szCs w:val="32"/>
        </w:rPr>
      </w:pPr>
      <w:r>
        <w:rPr>
          <w:rFonts w:hint="eastAsia" w:eastAsia="仿宋_GB2312"/>
          <w:sz w:val="32"/>
          <w:szCs w:val="32"/>
        </w:rPr>
        <w:t>公众评价总分</w:t>
      </w:r>
      <w:r>
        <w:rPr>
          <w:rFonts w:eastAsia="仿宋_GB2312"/>
          <w:sz w:val="32"/>
          <w:szCs w:val="32"/>
        </w:rPr>
        <w:t>100</w:t>
      </w:r>
      <w:r>
        <w:rPr>
          <w:rFonts w:hint="eastAsia" w:eastAsia="仿宋_GB2312"/>
          <w:sz w:val="32"/>
          <w:szCs w:val="32"/>
        </w:rPr>
        <w:t>分。具体计分方法如下：</w:t>
      </w:r>
    </w:p>
    <w:p>
      <w:pPr>
        <w:pStyle w:val="4"/>
        <w:snapToGrid w:val="0"/>
        <w:spacing w:line="520" w:lineRule="exact"/>
        <w:ind w:firstLine="643" w:firstLineChars="200"/>
        <w:rPr>
          <w:rFonts w:eastAsia="仿宋_GB2312"/>
          <w:sz w:val="32"/>
          <w:szCs w:val="32"/>
        </w:rPr>
      </w:pPr>
      <w:r>
        <w:rPr>
          <w:rFonts w:ascii="楷体" w:hAnsi="楷体" w:eastAsia="楷体"/>
          <w:b/>
          <w:sz w:val="32"/>
          <w:szCs w:val="32"/>
        </w:rPr>
        <w:t>1</w:t>
      </w:r>
      <w:r>
        <w:rPr>
          <w:rFonts w:hint="eastAsia" w:ascii="楷体" w:hAnsi="楷体" w:eastAsia="楷体"/>
          <w:b/>
          <w:sz w:val="32"/>
          <w:szCs w:val="32"/>
        </w:rPr>
        <w:t>、单</w:t>
      </w:r>
      <w:r>
        <w:rPr>
          <w:rFonts w:ascii="楷体" w:hAnsi="楷体" w:eastAsia="楷体"/>
          <w:b/>
          <w:sz w:val="32"/>
          <w:szCs w:val="32"/>
        </w:rPr>
        <w:t>张问卷得分：</w:t>
      </w:r>
      <w:r>
        <w:rPr>
          <w:rFonts w:hint="eastAsia" w:eastAsia="仿宋_GB2312"/>
          <w:sz w:val="32"/>
          <w:szCs w:val="32"/>
        </w:rPr>
        <w:t>问卷共</w:t>
      </w:r>
      <w:r>
        <w:rPr>
          <w:rFonts w:eastAsia="仿宋_GB2312"/>
          <w:sz w:val="32"/>
          <w:szCs w:val="32"/>
        </w:rPr>
        <w:t>25</w:t>
      </w:r>
      <w:r>
        <w:rPr>
          <w:rFonts w:hint="eastAsia" w:eastAsia="仿宋_GB2312"/>
          <w:sz w:val="32"/>
          <w:szCs w:val="32"/>
        </w:rPr>
        <w:t>道题，每题</w:t>
      </w:r>
      <w:r>
        <w:rPr>
          <w:rFonts w:eastAsia="仿宋_GB2312"/>
          <w:sz w:val="32"/>
          <w:szCs w:val="32"/>
        </w:rPr>
        <w:t>4</w:t>
      </w:r>
      <w:r>
        <w:rPr>
          <w:rFonts w:hint="eastAsia" w:eastAsia="仿宋_GB2312"/>
          <w:sz w:val="32"/>
          <w:szCs w:val="32"/>
        </w:rPr>
        <w:t>分，满分</w:t>
      </w:r>
      <w:r>
        <w:rPr>
          <w:rFonts w:eastAsia="仿宋_GB2312"/>
          <w:sz w:val="32"/>
          <w:szCs w:val="32"/>
        </w:rPr>
        <w:t>100</w:t>
      </w:r>
      <w:r>
        <w:rPr>
          <w:rFonts w:hint="eastAsia" w:eastAsia="仿宋_GB2312"/>
          <w:sz w:val="32"/>
          <w:szCs w:val="32"/>
        </w:rPr>
        <w:t>分，每题设有</w:t>
      </w:r>
      <w:r>
        <w:rPr>
          <w:rFonts w:eastAsia="仿宋_GB2312"/>
          <w:sz w:val="32"/>
          <w:szCs w:val="32"/>
        </w:rPr>
        <w:t>A</w:t>
      </w:r>
      <w:r>
        <w:rPr>
          <w:rFonts w:hint="eastAsia" w:eastAsia="仿宋_GB2312"/>
          <w:sz w:val="32"/>
          <w:szCs w:val="32"/>
        </w:rPr>
        <w:t>、</w:t>
      </w:r>
      <w:r>
        <w:rPr>
          <w:rFonts w:eastAsia="仿宋_GB2312"/>
          <w:sz w:val="32"/>
          <w:szCs w:val="32"/>
        </w:rPr>
        <w:t>B</w:t>
      </w:r>
      <w:r>
        <w:rPr>
          <w:rFonts w:hint="eastAsia" w:eastAsia="仿宋_GB2312"/>
          <w:sz w:val="32"/>
          <w:szCs w:val="32"/>
        </w:rPr>
        <w:t>、</w:t>
      </w:r>
      <w:r>
        <w:rPr>
          <w:rFonts w:eastAsia="仿宋_GB2312"/>
          <w:sz w:val="32"/>
          <w:szCs w:val="32"/>
        </w:rPr>
        <w:t>C</w:t>
      </w:r>
      <w:r>
        <w:rPr>
          <w:rFonts w:hint="eastAsia" w:eastAsia="仿宋_GB2312"/>
          <w:sz w:val="32"/>
          <w:szCs w:val="32"/>
        </w:rPr>
        <w:t>、</w:t>
      </w:r>
      <w:r>
        <w:rPr>
          <w:rFonts w:eastAsia="仿宋_GB2312"/>
          <w:sz w:val="32"/>
          <w:szCs w:val="32"/>
        </w:rPr>
        <w:t>D</w:t>
      </w:r>
      <w:r>
        <w:rPr>
          <w:rFonts w:hint="eastAsia" w:eastAsia="仿宋_GB2312"/>
          <w:sz w:val="32"/>
          <w:szCs w:val="32"/>
        </w:rPr>
        <w:t>四个选项，对应分值为</w:t>
      </w:r>
      <w:r>
        <w:rPr>
          <w:rFonts w:eastAsia="仿宋_GB2312"/>
          <w:sz w:val="32"/>
          <w:szCs w:val="32"/>
        </w:rPr>
        <w:t>4</w:t>
      </w:r>
      <w:r>
        <w:rPr>
          <w:rFonts w:hint="eastAsia" w:eastAsia="仿宋_GB2312"/>
          <w:sz w:val="32"/>
          <w:szCs w:val="32"/>
        </w:rPr>
        <w:t>、</w:t>
      </w:r>
      <w:r>
        <w:rPr>
          <w:rFonts w:eastAsia="仿宋_GB2312"/>
          <w:sz w:val="32"/>
          <w:szCs w:val="32"/>
        </w:rPr>
        <w:t>3</w:t>
      </w:r>
      <w:r>
        <w:rPr>
          <w:rFonts w:hint="eastAsia" w:eastAsia="仿宋_GB2312"/>
          <w:sz w:val="32"/>
          <w:szCs w:val="32"/>
        </w:rPr>
        <w:t>、</w:t>
      </w:r>
      <w:r>
        <w:rPr>
          <w:rFonts w:eastAsia="仿宋_GB2312"/>
          <w:sz w:val="32"/>
          <w:szCs w:val="32"/>
        </w:rPr>
        <w:t>1</w:t>
      </w:r>
      <w:r>
        <w:rPr>
          <w:rFonts w:hint="eastAsia" w:eastAsia="仿宋_GB2312"/>
          <w:sz w:val="32"/>
          <w:szCs w:val="32"/>
        </w:rPr>
        <w:t>、</w:t>
      </w:r>
      <w:r>
        <w:rPr>
          <w:rFonts w:eastAsia="仿宋_GB2312"/>
          <w:sz w:val="32"/>
          <w:szCs w:val="32"/>
        </w:rPr>
        <w:t>0</w:t>
      </w:r>
      <w:r>
        <w:rPr>
          <w:rFonts w:hint="eastAsia" w:eastAsia="仿宋_GB2312"/>
          <w:sz w:val="32"/>
          <w:szCs w:val="32"/>
        </w:rPr>
        <w:t>。</w:t>
      </w:r>
    </w:p>
    <w:p>
      <w:pPr>
        <w:pStyle w:val="4"/>
        <w:snapToGrid w:val="0"/>
        <w:spacing w:line="520" w:lineRule="exact"/>
        <w:ind w:firstLine="643" w:firstLineChars="200"/>
        <w:rPr>
          <w:rFonts w:eastAsia="仿宋_GB2312"/>
          <w:sz w:val="32"/>
          <w:szCs w:val="32"/>
        </w:rPr>
      </w:pPr>
      <w:r>
        <w:rPr>
          <w:rFonts w:ascii="楷体" w:hAnsi="楷体" w:eastAsia="楷体"/>
          <w:b/>
          <w:sz w:val="32"/>
          <w:szCs w:val="32"/>
        </w:rPr>
        <w:t>2</w:t>
      </w:r>
      <w:r>
        <w:rPr>
          <w:rFonts w:hint="eastAsia" w:ascii="楷体" w:hAnsi="楷体" w:eastAsia="楷体"/>
          <w:b/>
          <w:sz w:val="32"/>
          <w:szCs w:val="32"/>
        </w:rPr>
        <w:t>、各</w:t>
      </w:r>
      <w:r>
        <w:rPr>
          <w:rFonts w:hint="eastAsia" w:ascii="楷体" w:hAnsi="楷体" w:eastAsia="楷体"/>
          <w:b/>
          <w:sz w:val="32"/>
          <w:szCs w:val="32"/>
          <w:lang w:eastAsia="zh-CN"/>
        </w:rPr>
        <w:t>区</w:t>
      </w:r>
      <w:r>
        <w:rPr>
          <w:rFonts w:hint="eastAsia" w:ascii="楷体" w:hAnsi="楷体" w:eastAsia="楷体"/>
          <w:b/>
          <w:sz w:val="32"/>
          <w:szCs w:val="32"/>
        </w:rPr>
        <w:t>问卷得分：</w:t>
      </w:r>
      <w:r>
        <w:rPr>
          <w:rFonts w:hint="eastAsia" w:eastAsia="仿宋_GB2312"/>
          <w:sz w:val="32"/>
          <w:szCs w:val="32"/>
          <w:lang w:eastAsia="zh-CN"/>
        </w:rPr>
        <w:t>各区</w:t>
      </w:r>
      <w:r>
        <w:rPr>
          <w:rFonts w:hint="eastAsia" w:eastAsia="仿宋_GB2312"/>
          <w:sz w:val="32"/>
          <w:szCs w:val="32"/>
        </w:rPr>
        <w:t>问卷得分</w:t>
      </w:r>
      <w:r>
        <w:rPr>
          <w:rFonts w:eastAsia="仿宋_GB2312"/>
          <w:sz w:val="32"/>
          <w:szCs w:val="32"/>
        </w:rPr>
        <w:t>=</w:t>
      </w:r>
      <w:r>
        <w:rPr>
          <w:rFonts w:hint="eastAsia" w:eastAsia="仿宋_GB2312"/>
          <w:sz w:val="32"/>
          <w:szCs w:val="32"/>
        </w:rPr>
        <w:t>有效问卷得分总和</w:t>
      </w:r>
      <w:r>
        <w:rPr>
          <w:rFonts w:eastAsia="仿宋_GB2312"/>
          <w:sz w:val="32"/>
          <w:szCs w:val="32"/>
        </w:rPr>
        <w:t>/</w:t>
      </w:r>
      <w:r>
        <w:rPr>
          <w:rFonts w:hint="eastAsia" w:eastAsia="仿宋_GB2312"/>
          <w:sz w:val="32"/>
          <w:szCs w:val="32"/>
        </w:rPr>
        <w:t>有效问卷份数</w:t>
      </w:r>
    </w:p>
    <w:p>
      <w:pPr>
        <w:pStyle w:val="4"/>
        <w:snapToGrid w:val="0"/>
        <w:spacing w:line="520" w:lineRule="exact"/>
        <w:ind w:firstLine="643" w:firstLineChars="200"/>
        <w:rPr>
          <w:rFonts w:eastAsia="仿宋_GB2312"/>
          <w:sz w:val="32"/>
          <w:szCs w:val="32"/>
        </w:rPr>
      </w:pPr>
      <w:r>
        <w:rPr>
          <w:rFonts w:ascii="楷体" w:hAnsi="楷体" w:eastAsia="楷体"/>
          <w:b/>
          <w:sz w:val="32"/>
          <w:szCs w:val="32"/>
        </w:rPr>
        <w:t>3</w:t>
      </w:r>
      <w:r>
        <w:rPr>
          <w:rFonts w:hint="eastAsia" w:ascii="楷体" w:hAnsi="楷体" w:eastAsia="楷体"/>
          <w:b/>
          <w:sz w:val="32"/>
          <w:szCs w:val="32"/>
        </w:rPr>
        <w:t>、各</w:t>
      </w:r>
      <w:r>
        <w:rPr>
          <w:rFonts w:hint="eastAsia" w:ascii="楷体" w:hAnsi="楷体" w:eastAsia="楷体"/>
          <w:b/>
          <w:sz w:val="32"/>
          <w:szCs w:val="32"/>
          <w:lang w:eastAsia="zh-CN"/>
        </w:rPr>
        <w:t>区</w:t>
      </w:r>
      <w:r>
        <w:rPr>
          <w:rFonts w:hint="eastAsia" w:ascii="楷体" w:hAnsi="楷体" w:eastAsia="楷体"/>
          <w:b/>
          <w:sz w:val="32"/>
          <w:szCs w:val="32"/>
        </w:rPr>
        <w:t>公众</w:t>
      </w:r>
      <w:r>
        <w:rPr>
          <w:rFonts w:ascii="楷体" w:hAnsi="楷体" w:eastAsia="楷体"/>
          <w:b/>
          <w:sz w:val="32"/>
          <w:szCs w:val="32"/>
        </w:rPr>
        <w:t>参与程</w:t>
      </w:r>
      <w:r>
        <w:rPr>
          <w:rFonts w:hint="eastAsia" w:ascii="楷体" w:hAnsi="楷体" w:eastAsia="楷体"/>
          <w:b/>
          <w:sz w:val="32"/>
          <w:szCs w:val="32"/>
        </w:rPr>
        <w:t>度评</w:t>
      </w:r>
      <w:r>
        <w:rPr>
          <w:rFonts w:ascii="楷体" w:hAnsi="楷体" w:eastAsia="楷体"/>
          <w:b/>
          <w:sz w:val="32"/>
          <w:szCs w:val="32"/>
        </w:rPr>
        <w:t>分：</w:t>
      </w:r>
      <w:r>
        <w:rPr>
          <w:rFonts w:hint="eastAsia" w:eastAsia="仿宋_GB2312"/>
          <w:sz w:val="32"/>
          <w:szCs w:val="32"/>
        </w:rPr>
        <w:t>问卷数量少于</w:t>
      </w:r>
      <w:r>
        <w:rPr>
          <w:rFonts w:eastAsia="仿宋_GB2312"/>
          <w:sz w:val="32"/>
          <w:szCs w:val="32"/>
        </w:rPr>
        <w:t>500</w:t>
      </w:r>
      <w:r>
        <w:rPr>
          <w:rFonts w:hint="eastAsia" w:eastAsia="仿宋_GB2312"/>
          <w:sz w:val="32"/>
          <w:szCs w:val="32"/>
        </w:rPr>
        <w:t>份，每少一份扣0.2分，最高可扣100分。</w:t>
      </w:r>
      <w:r>
        <w:rPr>
          <w:rFonts w:eastAsia="仿宋_GB2312"/>
          <w:sz w:val="32"/>
          <w:szCs w:val="32"/>
        </w:rPr>
        <w:t>问卷数量</w:t>
      </w:r>
      <w:r>
        <w:rPr>
          <w:rFonts w:hint="eastAsia" w:eastAsia="仿宋_GB2312"/>
          <w:sz w:val="32"/>
          <w:szCs w:val="32"/>
        </w:rPr>
        <w:t>多</w:t>
      </w:r>
      <w:r>
        <w:rPr>
          <w:rFonts w:eastAsia="仿宋_GB2312"/>
          <w:sz w:val="32"/>
          <w:szCs w:val="32"/>
        </w:rPr>
        <w:t>于500份，每</w:t>
      </w:r>
      <w:r>
        <w:rPr>
          <w:rFonts w:hint="eastAsia" w:eastAsia="仿宋_GB2312"/>
          <w:sz w:val="32"/>
          <w:szCs w:val="32"/>
        </w:rPr>
        <w:t>多</w:t>
      </w:r>
      <w:r>
        <w:rPr>
          <w:rFonts w:eastAsia="仿宋_GB2312"/>
          <w:sz w:val="32"/>
          <w:szCs w:val="32"/>
        </w:rPr>
        <w:t>一份</w:t>
      </w:r>
      <w:r>
        <w:rPr>
          <w:rFonts w:hint="eastAsia" w:eastAsia="仿宋_GB2312"/>
          <w:sz w:val="32"/>
          <w:szCs w:val="32"/>
        </w:rPr>
        <w:t>加</w:t>
      </w:r>
      <w:r>
        <w:rPr>
          <w:rFonts w:eastAsia="仿宋_GB2312"/>
          <w:sz w:val="32"/>
          <w:szCs w:val="32"/>
        </w:rPr>
        <w:t>0.</w:t>
      </w:r>
      <w:r>
        <w:rPr>
          <w:rFonts w:hint="eastAsia" w:eastAsia="仿宋_GB2312"/>
          <w:sz w:val="32"/>
          <w:szCs w:val="32"/>
        </w:rPr>
        <w:t>005</w:t>
      </w:r>
      <w:r>
        <w:rPr>
          <w:rFonts w:eastAsia="仿宋_GB2312"/>
          <w:sz w:val="32"/>
          <w:szCs w:val="32"/>
        </w:rPr>
        <w:t>分，最</w:t>
      </w:r>
      <w:r>
        <w:rPr>
          <w:rFonts w:hint="eastAsia" w:eastAsia="仿宋_GB2312"/>
          <w:sz w:val="32"/>
          <w:szCs w:val="32"/>
        </w:rPr>
        <w:t>多</w:t>
      </w:r>
      <w:r>
        <w:rPr>
          <w:rFonts w:eastAsia="仿宋_GB2312"/>
          <w:sz w:val="32"/>
          <w:szCs w:val="32"/>
        </w:rPr>
        <w:t>可</w:t>
      </w:r>
      <w:r>
        <w:rPr>
          <w:rFonts w:hint="eastAsia" w:eastAsia="仿宋_GB2312"/>
          <w:sz w:val="32"/>
          <w:szCs w:val="32"/>
        </w:rPr>
        <w:t>加10</w:t>
      </w:r>
      <w:r>
        <w:rPr>
          <w:rFonts w:eastAsia="仿宋_GB2312"/>
          <w:sz w:val="32"/>
          <w:szCs w:val="32"/>
        </w:rPr>
        <w:t>分。</w:t>
      </w:r>
    </w:p>
    <w:p>
      <w:pPr>
        <w:pStyle w:val="4"/>
        <w:snapToGrid w:val="0"/>
        <w:spacing w:line="520" w:lineRule="exact"/>
        <w:ind w:firstLine="643" w:firstLineChars="200"/>
        <w:rPr>
          <w:rFonts w:eastAsia="仿宋_GB2312"/>
          <w:sz w:val="32"/>
          <w:szCs w:val="32"/>
        </w:rPr>
        <w:sectPr>
          <w:footerReference r:id="rId3" w:type="default"/>
          <w:pgSz w:w="11906" w:h="16838"/>
          <w:pgMar w:top="1440" w:right="1474" w:bottom="1440" w:left="1474" w:header="851" w:footer="992" w:gutter="0"/>
          <w:cols w:space="720" w:num="1"/>
          <w:rtlGutter w:val="0"/>
          <w:docGrid w:type="lines" w:linePitch="312" w:charSpace="0"/>
        </w:sectPr>
      </w:pPr>
      <w:r>
        <w:rPr>
          <w:rFonts w:hint="eastAsia" w:ascii="楷体" w:hAnsi="楷体" w:eastAsia="楷体"/>
          <w:b/>
          <w:sz w:val="32"/>
          <w:szCs w:val="32"/>
        </w:rPr>
        <w:t>4、公众评价总得分</w:t>
      </w:r>
      <w:r>
        <w:rPr>
          <w:rFonts w:eastAsia="仿宋_GB2312"/>
          <w:sz w:val="32"/>
          <w:szCs w:val="32"/>
        </w:rPr>
        <w:t>=</w:t>
      </w:r>
      <w:r>
        <w:rPr>
          <w:rFonts w:hint="eastAsia" w:eastAsia="仿宋_GB2312"/>
          <w:sz w:val="32"/>
          <w:szCs w:val="32"/>
        </w:rPr>
        <w:t>问卷得分+问卷份数加分</w:t>
      </w:r>
      <w:r>
        <w:rPr>
          <w:rFonts w:eastAsia="仿宋_GB2312"/>
          <w:sz w:val="32"/>
          <w:szCs w:val="32"/>
        </w:rPr>
        <w:t>—</w:t>
      </w:r>
      <w:r>
        <w:rPr>
          <w:rFonts w:hint="eastAsia" w:eastAsia="仿宋_GB2312"/>
          <w:sz w:val="32"/>
          <w:szCs w:val="32"/>
        </w:rPr>
        <w:t>问卷份数扣分。（最后总得分不超过100分，最低不低于0</w:t>
      </w:r>
    </w:p>
    <w:p>
      <w:bookmarkStart w:id="3" w:name="_GoBack"/>
      <w:bookmarkEnd w:id="3"/>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19</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19</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13096"/>
    <w:rsid w:val="23713096"/>
    <w:rsid w:val="5495600D"/>
    <w:rsid w:val="60AE380D"/>
    <w:rsid w:val="74AF0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页脚 New"/>
    <w:basedOn w:val="4"/>
    <w:uiPriority w:val="0"/>
    <w:pPr>
      <w:tabs>
        <w:tab w:val="center" w:pos="4153"/>
        <w:tab w:val="right" w:pos="8306"/>
      </w:tabs>
      <w:snapToGrid w:val="0"/>
      <w:jc w:val="left"/>
    </w:pPr>
    <w:rPr>
      <w:sz w:val="18"/>
      <w:szCs w:val="18"/>
    </w:rPr>
  </w:style>
  <w:style w:type="paragraph" w:customStyle="1" w:styleId="6">
    <w:name w:val="正文 New New New New New"/>
    <w:uiPriority w:val="0"/>
    <w:pPr>
      <w:widowControl w:val="0"/>
      <w:jc w:val="both"/>
    </w:pPr>
    <w:rPr>
      <w:rFonts w:hint="eastAsia" w:ascii="Calibri" w:hAnsi="Calibri" w:eastAsia="宋体" w:cstheme="minorBidi"/>
      <w:kern w:val="2"/>
      <w:sz w:val="21"/>
      <w:szCs w:val="22"/>
      <w:lang w:val="en-US" w:eastAsia="zh-CN"/>
    </w:rPr>
  </w:style>
  <w:style w:type="character" w:customStyle="1" w:styleId="7">
    <w:name w:val="fontstyle01"/>
    <w:basedOn w:val="3"/>
    <w:uiPriority w:val="0"/>
    <w:rPr>
      <w:rFonts w:ascii="宋体" w:hAnsi="宋体" w:eastAsia="宋体" w:cs="宋体"/>
      <w:color w:val="000000"/>
      <w:sz w:val="22"/>
      <w:szCs w:val="22"/>
    </w:rPr>
  </w:style>
  <w:style w:type="paragraph" w:customStyle="1" w:styleId="8">
    <w:name w:val="正文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2020-11-26T06:36:00Z</dcterms:created>
  <dc:creator>Administrator</dc:creator>
  <cp:lastModifiedBy>Administrator</cp:lastModifiedBy>
  <dcterms:modified xsi:type="dcterms:W3CDTF">2020-11-26T06:38:54Z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